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29" w:rsidRPr="006E7A0D" w:rsidRDefault="00417B43" w:rsidP="00057F3D">
      <w:pPr>
        <w:rPr>
          <w:lang w:val="uk-UA"/>
        </w:rPr>
      </w:pPr>
      <w:bookmarkStart w:id="0" w:name="_GoBack"/>
      <w:r w:rsidRPr="006E7A0D">
        <w:rPr>
          <w:noProof/>
          <w:lang w:val="uk-UA"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-832484</wp:posOffset>
            </wp:positionV>
            <wp:extent cx="7604443" cy="10755074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cus_cov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43" cy="1075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837314" w:rsidRPr="006E7A0D" w:rsidRDefault="00837314" w:rsidP="00057F3D">
      <w:pPr>
        <w:rPr>
          <w:lang w:val="uk-UA"/>
        </w:rPr>
      </w:pPr>
    </w:p>
    <w:p w:rsidR="007D52DE" w:rsidRDefault="00417B43" w:rsidP="00057F3D">
      <w:pPr>
        <w:rPr>
          <w:lang w:val="uk-UA" w:eastAsia="ru-RU"/>
        </w:rPr>
      </w:pPr>
      <w:r w:rsidRPr="006E7A0D">
        <w:rPr>
          <w:noProof/>
          <w:lang w:val="uk-UA" w:eastAsia="uk-UA"/>
        </w:rPr>
        <w:lastRenderedPageBreak/>
        <w:drawing>
          <wp:inline distT="0" distB="0" distL="0" distR="0">
            <wp:extent cx="2590800" cy="1066800"/>
            <wp:effectExtent l="19050" t="0" r="0" b="0"/>
            <wp:docPr id="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B41" w:rsidRDefault="00033B41" w:rsidP="00057F3D">
      <w:pPr>
        <w:rPr>
          <w:lang w:val="uk-UA" w:eastAsia="ru-RU"/>
        </w:rPr>
      </w:pPr>
    </w:p>
    <w:p w:rsidR="00033B41" w:rsidRDefault="00033B41" w:rsidP="00057F3D">
      <w:pPr>
        <w:rPr>
          <w:lang w:val="uk-UA" w:eastAsia="ru-RU"/>
        </w:rPr>
      </w:pPr>
    </w:p>
    <w:p w:rsidR="00033B41" w:rsidRDefault="00033B41" w:rsidP="00057F3D">
      <w:pPr>
        <w:rPr>
          <w:lang w:val="uk-UA" w:eastAsia="ru-RU"/>
        </w:rPr>
      </w:pPr>
    </w:p>
    <w:p w:rsidR="00033B41" w:rsidRDefault="00033B41" w:rsidP="00057F3D">
      <w:pPr>
        <w:rPr>
          <w:lang w:val="uk-UA" w:eastAsia="ru-RU"/>
        </w:rPr>
      </w:pPr>
    </w:p>
    <w:p w:rsidR="00033B41" w:rsidRDefault="00033B41" w:rsidP="00057F3D">
      <w:pPr>
        <w:rPr>
          <w:lang w:val="uk-UA" w:eastAsia="ru-RU"/>
        </w:rPr>
      </w:pPr>
    </w:p>
    <w:p w:rsidR="00033B41" w:rsidRPr="006E7A0D" w:rsidRDefault="00033B41" w:rsidP="00057F3D">
      <w:pPr>
        <w:rPr>
          <w:lang w:val="uk-UA" w:eastAsia="ru-RU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4"/>
          <w:szCs w:val="24"/>
          <w:lang w:val="uk-UA"/>
        </w:rPr>
        <w:id w:val="24360013"/>
        <w:docPartObj>
          <w:docPartGallery w:val="Table of Contents"/>
          <w:docPartUnique/>
        </w:docPartObj>
      </w:sdtPr>
      <w:sdtEndPr/>
      <w:sdtContent>
        <w:p w:rsidR="007D52DE" w:rsidRPr="006E7A0D" w:rsidRDefault="007D52DE" w:rsidP="007D52DE">
          <w:pPr>
            <w:pStyle w:val="af3"/>
            <w:jc w:val="center"/>
            <w:rPr>
              <w:lang w:val="uk-UA"/>
            </w:rPr>
          </w:pPr>
          <w:r w:rsidRPr="006E7A0D">
            <w:rPr>
              <w:rFonts w:asciiTheme="minorHAnsi" w:hAnsiTheme="minorHAnsi"/>
              <w:color w:val="244061" w:themeColor="accent1" w:themeShade="80"/>
              <w:sz w:val="36"/>
              <w:szCs w:val="36"/>
              <w:lang w:val="uk-UA"/>
            </w:rPr>
            <w:t>ЗМІСТ</w:t>
          </w:r>
        </w:p>
        <w:p w:rsidR="00D75BC5" w:rsidRDefault="00BD4409">
          <w:pPr>
            <w:pStyle w:val="1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  <w:lang w:val="uk-UA" w:eastAsia="uk-UA"/>
            </w:rPr>
          </w:pPr>
          <w:r w:rsidRPr="001E074A">
            <w:rPr>
              <w:noProof w:val="0"/>
              <w:sz w:val="28"/>
              <w:szCs w:val="28"/>
              <w:lang w:val="uk-UA"/>
            </w:rPr>
            <w:fldChar w:fldCharType="begin"/>
          </w:r>
          <w:r w:rsidR="007D52DE" w:rsidRPr="001E074A">
            <w:rPr>
              <w:noProof w:val="0"/>
              <w:sz w:val="28"/>
              <w:szCs w:val="28"/>
              <w:lang w:val="uk-UA"/>
            </w:rPr>
            <w:instrText xml:space="preserve"> TOC \o "1-3" \h \z \u </w:instrText>
          </w:r>
          <w:r w:rsidRPr="001E074A">
            <w:rPr>
              <w:noProof w:val="0"/>
              <w:sz w:val="28"/>
              <w:szCs w:val="28"/>
              <w:lang w:val="uk-UA"/>
            </w:rPr>
            <w:fldChar w:fldCharType="separate"/>
          </w:r>
          <w:hyperlink w:anchor="_Toc485022999" w:history="1">
            <w:r w:rsidR="00D75BC5" w:rsidRPr="003C360A">
              <w:rPr>
                <w:rStyle w:val="a3"/>
                <w:lang w:val="uk-UA"/>
              </w:rPr>
              <w:t>НАТО ЗНОВУ В ПРІОРИТЕТІ, АБО ЯК КИЇВ ЗМІНЮЄ  СВОЮ ЄВРОАТЛАНТИЧНУ СТРАТЕГІЮ</w:t>
            </w:r>
            <w:r w:rsidR="00D75BC5">
              <w:rPr>
                <w:webHidden/>
              </w:rPr>
              <w:tab/>
            </w:r>
            <w:r w:rsidR="00D75BC5">
              <w:rPr>
                <w:webHidden/>
              </w:rPr>
              <w:fldChar w:fldCharType="begin"/>
            </w:r>
            <w:r w:rsidR="00D75BC5">
              <w:rPr>
                <w:webHidden/>
              </w:rPr>
              <w:instrText xml:space="preserve"> PAGEREF _Toc485022999 \h </w:instrText>
            </w:r>
            <w:r w:rsidR="00D75BC5">
              <w:rPr>
                <w:webHidden/>
              </w:rPr>
            </w:r>
            <w:r w:rsidR="00D75BC5">
              <w:rPr>
                <w:webHidden/>
              </w:rPr>
              <w:fldChar w:fldCharType="separate"/>
            </w:r>
            <w:r w:rsidR="00732FB3">
              <w:rPr>
                <w:webHidden/>
              </w:rPr>
              <w:t>3</w:t>
            </w:r>
            <w:r w:rsidR="00D75BC5">
              <w:rPr>
                <w:webHidden/>
              </w:rPr>
              <w:fldChar w:fldCharType="end"/>
            </w:r>
          </w:hyperlink>
        </w:p>
        <w:p w:rsidR="00D75BC5" w:rsidRDefault="009F0A50">
          <w:pPr>
            <w:pStyle w:val="1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  <w:lang w:val="uk-UA" w:eastAsia="uk-UA"/>
            </w:rPr>
          </w:pPr>
          <w:hyperlink w:anchor="_Toc485023000" w:history="1">
            <w:r w:rsidR="00D75BC5" w:rsidRPr="003C360A">
              <w:rPr>
                <w:rStyle w:val="a3"/>
                <w:lang w:val="uk-UA"/>
              </w:rPr>
              <w:t>ВІДСТАВКА ЧЛЕНА НАЗК: ПІДГОТОВКА ДО РОЗВАЛУ АГЕНТСТВА?</w:t>
            </w:r>
            <w:r w:rsidR="00D75BC5">
              <w:rPr>
                <w:webHidden/>
              </w:rPr>
              <w:tab/>
            </w:r>
            <w:r w:rsidR="00D75BC5">
              <w:rPr>
                <w:webHidden/>
              </w:rPr>
              <w:fldChar w:fldCharType="begin"/>
            </w:r>
            <w:r w:rsidR="00D75BC5">
              <w:rPr>
                <w:webHidden/>
              </w:rPr>
              <w:instrText xml:space="preserve"> PAGEREF _Toc485023000 \h </w:instrText>
            </w:r>
            <w:r w:rsidR="00D75BC5">
              <w:rPr>
                <w:webHidden/>
              </w:rPr>
            </w:r>
            <w:r w:rsidR="00D75BC5">
              <w:rPr>
                <w:webHidden/>
              </w:rPr>
              <w:fldChar w:fldCharType="separate"/>
            </w:r>
            <w:r w:rsidR="00732FB3">
              <w:rPr>
                <w:webHidden/>
              </w:rPr>
              <w:t>5</w:t>
            </w:r>
            <w:r w:rsidR="00D75BC5">
              <w:rPr>
                <w:webHidden/>
              </w:rPr>
              <w:fldChar w:fldCharType="end"/>
            </w:r>
          </w:hyperlink>
        </w:p>
        <w:p w:rsidR="00D75BC5" w:rsidRDefault="009F0A50">
          <w:pPr>
            <w:pStyle w:val="1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  <w:lang w:val="uk-UA" w:eastAsia="uk-UA"/>
            </w:rPr>
          </w:pPr>
          <w:hyperlink w:anchor="_Toc485023001" w:history="1">
            <w:r w:rsidR="00D75BC5" w:rsidRPr="003C360A">
              <w:rPr>
                <w:rStyle w:val="a3"/>
              </w:rPr>
              <w:t>ХТО КОМУ «ВОРОГ» В РОСІЇ?</w:t>
            </w:r>
            <w:r w:rsidR="00D75BC5">
              <w:rPr>
                <w:webHidden/>
              </w:rPr>
              <w:tab/>
            </w:r>
            <w:r w:rsidR="00D75BC5">
              <w:rPr>
                <w:webHidden/>
              </w:rPr>
              <w:fldChar w:fldCharType="begin"/>
            </w:r>
            <w:r w:rsidR="00D75BC5">
              <w:rPr>
                <w:webHidden/>
              </w:rPr>
              <w:instrText xml:space="preserve"> PAGEREF _Toc485023001 \h </w:instrText>
            </w:r>
            <w:r w:rsidR="00D75BC5">
              <w:rPr>
                <w:webHidden/>
              </w:rPr>
            </w:r>
            <w:r w:rsidR="00D75BC5">
              <w:rPr>
                <w:webHidden/>
              </w:rPr>
              <w:fldChar w:fldCharType="separate"/>
            </w:r>
            <w:r w:rsidR="00732FB3">
              <w:rPr>
                <w:webHidden/>
              </w:rPr>
              <w:t>6</w:t>
            </w:r>
            <w:r w:rsidR="00D75BC5">
              <w:rPr>
                <w:webHidden/>
              </w:rPr>
              <w:fldChar w:fldCharType="end"/>
            </w:r>
          </w:hyperlink>
        </w:p>
        <w:p w:rsidR="007D52DE" w:rsidRPr="006E7A0D" w:rsidRDefault="00BD4409" w:rsidP="00F966BE">
          <w:pPr>
            <w:spacing w:line="276" w:lineRule="auto"/>
            <w:rPr>
              <w:lang w:val="uk-UA"/>
            </w:rPr>
          </w:pPr>
          <w:r w:rsidRPr="001E074A">
            <w:rPr>
              <w:sz w:val="28"/>
              <w:szCs w:val="28"/>
              <w:lang w:val="uk-UA"/>
            </w:rPr>
            <w:fldChar w:fldCharType="end"/>
          </w:r>
        </w:p>
      </w:sdtContent>
    </w:sdt>
    <w:p w:rsidR="006A71D1" w:rsidRPr="006E7A0D" w:rsidRDefault="006A71D1" w:rsidP="00057F3D">
      <w:pPr>
        <w:rPr>
          <w:lang w:val="uk-UA" w:eastAsia="ru-RU"/>
        </w:rPr>
      </w:pPr>
    </w:p>
    <w:p w:rsidR="007D52DE" w:rsidRPr="006E7A0D" w:rsidRDefault="007D52DE" w:rsidP="00057F3D">
      <w:pPr>
        <w:rPr>
          <w:lang w:val="uk-UA" w:eastAsia="ru-RU"/>
        </w:rPr>
      </w:pPr>
    </w:p>
    <w:p w:rsidR="007D52DE" w:rsidRPr="006E7A0D" w:rsidRDefault="007D52DE" w:rsidP="00057F3D">
      <w:pPr>
        <w:rPr>
          <w:lang w:val="uk-UA" w:eastAsia="ru-RU"/>
        </w:rPr>
      </w:pPr>
    </w:p>
    <w:p w:rsidR="00426108" w:rsidRPr="006E7A0D" w:rsidRDefault="00426108" w:rsidP="00057F3D">
      <w:pPr>
        <w:rPr>
          <w:lang w:val="uk-UA" w:eastAsia="ru-RU"/>
        </w:rPr>
      </w:pPr>
    </w:p>
    <w:p w:rsidR="00426108" w:rsidRPr="006E7A0D" w:rsidRDefault="00426108" w:rsidP="00057F3D">
      <w:pPr>
        <w:rPr>
          <w:lang w:val="uk-UA" w:eastAsia="ru-RU"/>
        </w:rPr>
      </w:pPr>
    </w:p>
    <w:p w:rsidR="00426108" w:rsidRPr="006E7A0D" w:rsidRDefault="00426108" w:rsidP="00057F3D">
      <w:pPr>
        <w:rPr>
          <w:lang w:val="uk-UA" w:eastAsia="ru-RU"/>
        </w:rPr>
      </w:pPr>
    </w:p>
    <w:p w:rsidR="00426108" w:rsidRPr="006E7A0D" w:rsidRDefault="00426108" w:rsidP="00057F3D">
      <w:pPr>
        <w:rPr>
          <w:lang w:val="uk-UA" w:eastAsia="ru-RU"/>
        </w:rPr>
      </w:pPr>
    </w:p>
    <w:p w:rsidR="00426108" w:rsidRPr="006E7A0D" w:rsidRDefault="00426108" w:rsidP="00057F3D">
      <w:pPr>
        <w:rPr>
          <w:lang w:val="uk-UA" w:eastAsia="ru-RU"/>
        </w:rPr>
      </w:pPr>
    </w:p>
    <w:p w:rsidR="000C367D" w:rsidRPr="006E7A0D" w:rsidRDefault="000C367D" w:rsidP="000C367D">
      <w:pPr>
        <w:pStyle w:val="1"/>
        <w:spacing w:before="0" w:beforeAutospacing="0"/>
        <w:rPr>
          <w:lang w:val="uk-UA"/>
        </w:rPr>
      </w:pPr>
      <w:bookmarkStart w:id="1" w:name="_Toc485022999"/>
      <w:r w:rsidRPr="000C367D">
        <w:rPr>
          <w:lang w:val="uk-UA"/>
        </w:rPr>
        <w:lastRenderedPageBreak/>
        <w:t>НАТО ЗНОВУ В ПРІОРИТЕТІ, АБО ЯК КИЇВ ЗМІНЮЄ  СВОЮ ЄВРОАТЛАНТИЧНУ СТРАТЕГІЮ</w:t>
      </w:r>
      <w:bookmarkEnd w:id="1"/>
    </w:p>
    <w:tbl>
      <w:tblPr>
        <w:tblStyle w:val="af0"/>
        <w:tblW w:w="0" w:type="auto"/>
        <w:tblBorders>
          <w:top w:val="none" w:sz="0" w:space="0" w:color="auto"/>
          <w:left w:val="single" w:sz="8" w:space="0" w:color="244061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C367D" w:rsidRPr="00033B41" w:rsidTr="00414CC5">
        <w:tc>
          <w:tcPr>
            <w:tcW w:w="4077" w:type="dxa"/>
            <w:tcBorders>
              <w:left w:val="nil"/>
              <w:right w:val="single" w:sz="18" w:space="0" w:color="244061" w:themeColor="accent1" w:themeShade="80"/>
            </w:tcBorders>
          </w:tcPr>
          <w:p w:rsidR="000C367D" w:rsidRPr="006E7A0D" w:rsidRDefault="000C367D" w:rsidP="00414CC5">
            <w:pPr>
              <w:rPr>
                <w:lang w:val="uk-UA"/>
              </w:rPr>
            </w:pPr>
            <w:r w:rsidRPr="006E7A0D">
              <w:rPr>
                <w:noProof/>
                <w:lang w:val="uk-UA" w:eastAsia="uk-UA"/>
              </w:rPr>
              <w:drawing>
                <wp:inline distT="0" distB="0" distL="0" distR="0" wp14:anchorId="310D8DA0" wp14:editId="6FFEF236">
                  <wp:extent cx="1875064" cy="2085156"/>
                  <wp:effectExtent l="19050" t="0" r="68036" b="48444"/>
                  <wp:docPr id="67" name="Рисунок 67" descr="photo_foc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hoto_fo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51" cy="208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C367D" w:rsidRPr="006E7A0D" w:rsidRDefault="000C367D" w:rsidP="00414CC5">
            <w:pPr>
              <w:rPr>
                <w:lang w:val="uk-UA"/>
              </w:rPr>
            </w:pPr>
            <w:r w:rsidRPr="006E7A0D">
              <w:rPr>
                <w:lang w:val="uk-UA"/>
              </w:rPr>
              <w:t xml:space="preserve">Марія </w:t>
            </w:r>
            <w:proofErr w:type="spellStart"/>
            <w:r w:rsidRPr="006E7A0D">
              <w:rPr>
                <w:b/>
                <w:lang w:val="uk-UA"/>
              </w:rPr>
              <w:t>Золкіна</w:t>
            </w:r>
            <w:proofErr w:type="spellEnd"/>
          </w:p>
          <w:p w:rsidR="000C367D" w:rsidRPr="006E7A0D" w:rsidRDefault="000C367D" w:rsidP="00414CC5">
            <w:pPr>
              <w:rPr>
                <w:sz w:val="20"/>
                <w:szCs w:val="20"/>
                <w:lang w:val="uk-UA"/>
              </w:rPr>
            </w:pPr>
            <w:r w:rsidRPr="006E7A0D">
              <w:rPr>
                <w:sz w:val="20"/>
                <w:szCs w:val="20"/>
                <w:lang w:val="uk-UA"/>
              </w:rPr>
              <w:t xml:space="preserve">Політичний аналітик фонду «Демократичні ініціативи» ім. Ілька </w:t>
            </w:r>
            <w:proofErr w:type="spellStart"/>
            <w:r w:rsidRPr="006E7A0D">
              <w:rPr>
                <w:sz w:val="20"/>
                <w:szCs w:val="20"/>
                <w:lang w:val="uk-UA"/>
              </w:rPr>
              <w:t>Кучеріва</w:t>
            </w:r>
            <w:proofErr w:type="spellEnd"/>
          </w:p>
        </w:tc>
        <w:tc>
          <w:tcPr>
            <w:tcW w:w="5494" w:type="dxa"/>
            <w:tcBorders>
              <w:left w:val="single" w:sz="18" w:space="0" w:color="244061" w:themeColor="accent1" w:themeShade="80"/>
            </w:tcBorders>
          </w:tcPr>
          <w:p w:rsidR="000C367D" w:rsidRPr="006E7A0D" w:rsidRDefault="000C367D" w:rsidP="00414CC5">
            <w:pPr>
              <w:ind w:left="58"/>
              <w:rPr>
                <w:rFonts w:asciiTheme="minorHAnsi" w:hAnsiTheme="minorHAnsi"/>
                <w:b/>
                <w:highlight w:val="yellow"/>
                <w:lang w:val="uk-UA"/>
              </w:rPr>
            </w:pPr>
            <w:r w:rsidRPr="000C367D">
              <w:rPr>
                <w:b/>
                <w:lang w:val="uk-UA"/>
              </w:rPr>
              <w:t xml:space="preserve">8 червня в українському парламенті відбулася, без применшення,    надзвичайно важлива подія. Так,    набуття Україною членства в НАТО  було визначено  метою  та одним з ключових пріоритетів зовнішньої політики  та національної безпеки.  Фактично,  відбулася логічна гармонізація між  тим, що проголошувалося від 2014 р.  у формі політичних заяв, з одного боку, і що реально  було  закріплено на законодавчому рівні.   Два ключові закони  України, які визначають засади внутрішньої, зовнішньої та </w:t>
            </w:r>
            <w:proofErr w:type="spellStart"/>
            <w:r w:rsidRPr="000C367D">
              <w:rPr>
                <w:b/>
                <w:lang w:val="uk-UA"/>
              </w:rPr>
              <w:t>безпекової</w:t>
            </w:r>
            <w:proofErr w:type="spellEnd"/>
            <w:r w:rsidRPr="000C367D">
              <w:rPr>
                <w:b/>
                <w:lang w:val="uk-UA"/>
              </w:rPr>
              <w:t xml:space="preserve"> політики  були доповнені  простим, але  стратегічно важливим посилом:  метою України є  приєднання до Північноатлантичного Альянсу.</w:t>
            </w:r>
          </w:p>
        </w:tc>
      </w:tr>
    </w:tbl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Чому це   стратегічно  важливо? Відповідь на поверхні. Так, у 2014 р.,    після зміни  влади,   політичний винахід  режиму Януковича у формі    статусу позаблоковості  було скасовано і вилучено з українського  законодавства. Однак  за цим кроком  не було зроблено  логічного наступного: визначення нового пріоритету.  І  це не було б так принципово, якби  не декілька «але». По-перше,  цей новий пріоритет – членство в НАТО – постійно лунав  у  вигляді  заяв та  декларацій,  тобто був де-факто присутній на порядку  денному, але де-юре нічим не підкріплювався. По-друге,  відчувалася  різниця у тому, що  українська влада  говорила  внутрішній аудиторії, і що – зовнішній. Українська аудиторія частіше і гучніше  чула про поступ до членства  в НАТО. Натомість заяви назовні завжди були обережні  і  трималися в юридичних рамках. А ці формальні рамки визначали метою «досягнення критеріїв, необхідних  для набуття членства»  в НАТО, але аж ніяк членство як таке. Різниця очевидна. І хоча її мотивували  тим, що допоки приєднання не є реалістичним, краще  поглиблювати співпрацю і власне  прагнути  досягнення критеріїв,   ця колізія мала місце і  давала  простір і для маневрування, і для маніпуляцій. </w:t>
      </w:r>
    </w:p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Захід  цілком аргументовано   згортав  дискусії навколо приєднання України до НАТО: мовляв, у вас самих   чітко не визначено, чи ви збираєтесь просуватись  до членства, чи ні.  Українські політики  могли  балансувати між   настроями різних груп електорату всередині країни, і між  позиціями різних  держав-членів НАТО та ЄС  на зовнішній арені.  Загалом, до певної міри  така  ситуація  могла тривати і далі – вона багато в чому  була своєрідним компромісом:  між  досяжним і бажаним, між  політичними інтересами та боротьбою  та реальним  формуванням державної політики безпеки і зовнішніх  відносин.  Чому для   таких змін на законодавчому рівні було обрано саме цей момент  – складно сказати. Скоріше за все – всього потроху. Тут відіграли роль як  дуже конкретні речі, зокрема, очікуваний  приїзд делегації Північноатлантичної ради, так і контекстні,  зміна загальної  ситуації. Сюди  можна віднести  і  </w:t>
      </w:r>
      <w:r w:rsidRPr="000C367D">
        <w:rPr>
          <w:lang w:val="uk-UA"/>
        </w:rPr>
        <w:lastRenderedPageBreak/>
        <w:t xml:space="preserve">впевненість у тому, що у парламенті буде достатньо голосів за це рішення, і  певне зменшення напруги на фронті (а отже – і  більша ймовірність, що члени НАТО не сприйматимуть це рішення як закид Москві у «незручний» момент), і  поступова  зміна лінії поведінки  керівництва країни щодо  Росії загалом.  Останнє – не менш важливо, адже  у внутрішній політиці можна  простежити  підсилення  акценту на  політиці «жорсткої руки»  щодо Росії з боку президентської  політичної сили. Ззовні  ці зміни можуть бути не помітні, але у внутрішньому полі знову активно лунають  ідеї про візовий режим з Росією, наприклад. Без «санкції» від керівництва держави така ідея  на порядку денному не з’явиться, а в комплексі з іншими кроками це означає – реакція Москви наразі Київ хвилює менше, аніж раніше.  </w:t>
      </w:r>
    </w:p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До всього вище зазначеного варто додати ще один важливий аргумент, чому це рішення  було ухвалено зараз, і чому воно –  логічне за </w:t>
      </w:r>
      <w:proofErr w:type="spellStart"/>
      <w:r w:rsidRPr="000C367D">
        <w:rPr>
          <w:lang w:val="uk-UA"/>
        </w:rPr>
        <w:t>нинішнії</w:t>
      </w:r>
      <w:proofErr w:type="spellEnd"/>
      <w:r w:rsidRPr="000C367D">
        <w:rPr>
          <w:lang w:val="uk-UA"/>
        </w:rPr>
        <w:t xml:space="preserve"> ситуації.  Цей аргумент –  безпрецедентно високий рівень підтримки  руху до НАТО в українському суспільстві. Так, згідно з дослідженням Фонду «Демократичні ініціативи» та Центру Разумкова, якби у грудні  2016 р. проходив референдум щодо членства в НАТО, то  71,5%  його учасників проголосували б «за», тоді як «проти» – 23% (за явки 62% від загальної кількості виборців). НАТО від 2014 р. продовжує лишатися найбільш популярним варіантом гарантування національної безпеки України – так вважають 44% українців, а позаблоковий статус (26%) та військово-політичний союз на пострадянському просторі (6,5%) втратили левову частку своїх прихильників. Не відреагувати  на нові реалії суспільних настроїв було б недалекоглядно. Тим більше, що  ці  цифри, скоріше за все,  часом таки «</w:t>
      </w:r>
      <w:proofErr w:type="spellStart"/>
      <w:r w:rsidRPr="000C367D">
        <w:rPr>
          <w:lang w:val="uk-UA"/>
        </w:rPr>
        <w:t>просядуть</w:t>
      </w:r>
      <w:proofErr w:type="spellEnd"/>
      <w:r w:rsidRPr="000C367D">
        <w:rPr>
          <w:lang w:val="uk-UA"/>
        </w:rPr>
        <w:t xml:space="preserve">». Саме тому, якщо їх і використовувати як аргумент, то  очевидно, що кращого моменту вже не буде.  </w:t>
      </w:r>
    </w:p>
    <w:p w:rsid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Загалом варто сказати, що  звичайно, сам факт ухвалення таких змін до українського законодавства не змінить автоматично і принципово   порядку денного двосторонніх відносин Україна-НАТО. Але важливо, що ці зміни розставляють  важливі крапки над «і»: як для українського суспільства, так і для офіційних відносин України з НАТО.  Ці зміни формують амбітні цілі,  а те, що  членство не є   можливим «тут і зараз», не становить перешкоди для того, аби із цими цілями визначитися – так, як це відбулося вже у випадку з Європейським Союзом.     Насправді,  так само, як і до 8 червня, ключовим змістом двосторонніх відносин з Альянсом буде  досягнення  критеріїв для набуття членства, але нарешті   правильно розставлено  акценти: досягнення критеріїв – це  тільки  інструмент, а не  мета.  Чи буде Київ послідовним у  реалізації  нового підходу до відносин з НАТО – стане зрозуміло дуже швидко: за темпами внутрішніх </w:t>
      </w:r>
      <w:proofErr w:type="spellStart"/>
      <w:r w:rsidRPr="000C367D">
        <w:rPr>
          <w:lang w:val="uk-UA"/>
        </w:rPr>
        <w:t>безпекових</w:t>
      </w:r>
      <w:proofErr w:type="spellEnd"/>
      <w:r w:rsidRPr="000C367D">
        <w:rPr>
          <w:lang w:val="uk-UA"/>
        </w:rPr>
        <w:t xml:space="preserve"> та оборонних реформ, за  іншими напрямками демократизації,  за  тим, як Київ  використає  вже надані можливості  допомоги від НАТО.</w:t>
      </w:r>
    </w:p>
    <w:p w:rsidR="000C367D" w:rsidRDefault="000C367D" w:rsidP="000C367D">
      <w:pPr>
        <w:rPr>
          <w:lang w:val="uk-UA"/>
        </w:rPr>
      </w:pPr>
    </w:p>
    <w:p w:rsidR="000C367D" w:rsidRPr="000C367D" w:rsidRDefault="000C367D" w:rsidP="000C367D">
      <w:pPr>
        <w:rPr>
          <w:lang w:val="uk-UA"/>
        </w:rPr>
      </w:pPr>
    </w:p>
    <w:p w:rsidR="000C367D" w:rsidRDefault="000C367D" w:rsidP="00417DCF">
      <w:pPr>
        <w:pStyle w:val="1"/>
      </w:pPr>
    </w:p>
    <w:p w:rsidR="000C367D" w:rsidRDefault="000C367D" w:rsidP="000C367D"/>
    <w:p w:rsidR="000C367D" w:rsidRDefault="000C367D" w:rsidP="000C367D"/>
    <w:p w:rsidR="000C367D" w:rsidRPr="006E7A0D" w:rsidRDefault="000C367D" w:rsidP="000C367D">
      <w:pPr>
        <w:pStyle w:val="1"/>
        <w:rPr>
          <w:lang w:val="uk-UA"/>
        </w:rPr>
      </w:pPr>
      <w:bookmarkStart w:id="2" w:name="_Toc485023000"/>
      <w:r w:rsidRPr="000C367D">
        <w:rPr>
          <w:lang w:val="uk-UA"/>
        </w:rPr>
        <w:lastRenderedPageBreak/>
        <w:t>ВІДСТАВКА ЧЛЕНА НАЗК: ПІДГОТОВКА ДО РОЗВАЛУ АГЕНТСТВА?</w:t>
      </w:r>
      <w:bookmarkEnd w:id="2"/>
    </w:p>
    <w:tbl>
      <w:tblPr>
        <w:tblStyle w:val="af0"/>
        <w:tblW w:w="0" w:type="auto"/>
        <w:tblBorders>
          <w:top w:val="none" w:sz="0" w:space="0" w:color="auto"/>
          <w:left w:val="single" w:sz="8" w:space="0" w:color="244061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C367D" w:rsidRPr="002074A1" w:rsidTr="00414CC5">
        <w:tc>
          <w:tcPr>
            <w:tcW w:w="4077" w:type="dxa"/>
            <w:tcBorders>
              <w:left w:val="nil"/>
              <w:right w:val="single" w:sz="18" w:space="0" w:color="244061" w:themeColor="accent1" w:themeShade="80"/>
            </w:tcBorders>
          </w:tcPr>
          <w:p w:rsidR="000C367D" w:rsidRPr="006E7A0D" w:rsidRDefault="000C367D" w:rsidP="00414CC5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29EFF93" wp14:editId="48BF6AEA">
                  <wp:extent cx="2092395" cy="2092395"/>
                  <wp:effectExtent l="0" t="0" r="79375" b="79375"/>
                  <wp:docPr id="4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hoto_fo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395" cy="209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C367D" w:rsidRPr="00B50725" w:rsidRDefault="000C367D" w:rsidP="00414CC5">
            <w:pPr>
              <w:rPr>
                <w:b/>
                <w:lang w:val="uk-UA"/>
              </w:rPr>
            </w:pPr>
            <w:proofErr w:type="spellStart"/>
            <w:r>
              <w:t>Олексій</w:t>
            </w:r>
            <w:proofErr w:type="spellEnd"/>
            <w:r w:rsidRPr="00327066">
              <w:t xml:space="preserve"> </w:t>
            </w:r>
            <w:r>
              <w:rPr>
                <w:b/>
                <w:lang w:val="uk-UA"/>
              </w:rPr>
              <w:t>Сидорчук</w:t>
            </w:r>
          </w:p>
          <w:p w:rsidR="000C367D" w:rsidRPr="006E7A0D" w:rsidRDefault="000C367D" w:rsidP="00414CC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Політичний аналітик</w:t>
            </w:r>
            <w:r w:rsidRPr="00057F3D">
              <w:rPr>
                <w:sz w:val="20"/>
                <w:szCs w:val="20"/>
              </w:rPr>
              <w:t xml:space="preserve"> фонду «</w:t>
            </w:r>
            <w:proofErr w:type="spellStart"/>
            <w:r w:rsidRPr="00057F3D">
              <w:rPr>
                <w:sz w:val="20"/>
                <w:szCs w:val="20"/>
              </w:rPr>
              <w:t>Демократичні</w:t>
            </w:r>
            <w:proofErr w:type="spellEnd"/>
            <w:r w:rsidRPr="00057F3D">
              <w:rPr>
                <w:sz w:val="20"/>
                <w:szCs w:val="20"/>
              </w:rPr>
              <w:t xml:space="preserve"> </w:t>
            </w:r>
            <w:proofErr w:type="spellStart"/>
            <w:r w:rsidRPr="00057F3D">
              <w:rPr>
                <w:sz w:val="20"/>
                <w:szCs w:val="20"/>
              </w:rPr>
              <w:t>ініціативи</w:t>
            </w:r>
            <w:proofErr w:type="spellEnd"/>
            <w:r w:rsidRPr="00057F3D">
              <w:rPr>
                <w:sz w:val="20"/>
                <w:szCs w:val="20"/>
              </w:rPr>
              <w:t xml:space="preserve">» </w:t>
            </w:r>
            <w:proofErr w:type="spellStart"/>
            <w:r w:rsidRPr="00057F3D">
              <w:rPr>
                <w:sz w:val="20"/>
                <w:szCs w:val="20"/>
              </w:rPr>
              <w:t>ім</w:t>
            </w:r>
            <w:proofErr w:type="spellEnd"/>
            <w:r w:rsidRPr="00057F3D">
              <w:rPr>
                <w:sz w:val="20"/>
                <w:szCs w:val="20"/>
              </w:rPr>
              <w:t xml:space="preserve">. </w:t>
            </w:r>
            <w:proofErr w:type="spellStart"/>
            <w:r w:rsidRPr="00057F3D">
              <w:rPr>
                <w:sz w:val="20"/>
                <w:szCs w:val="20"/>
              </w:rPr>
              <w:t>Ілька</w:t>
            </w:r>
            <w:proofErr w:type="spellEnd"/>
            <w:r w:rsidRPr="00057F3D">
              <w:rPr>
                <w:sz w:val="20"/>
                <w:szCs w:val="20"/>
              </w:rPr>
              <w:t xml:space="preserve"> </w:t>
            </w:r>
            <w:proofErr w:type="spellStart"/>
            <w:r w:rsidRPr="00057F3D">
              <w:rPr>
                <w:sz w:val="20"/>
                <w:szCs w:val="20"/>
              </w:rPr>
              <w:t>Кучеріва</w:t>
            </w:r>
            <w:proofErr w:type="spellEnd"/>
          </w:p>
        </w:tc>
        <w:tc>
          <w:tcPr>
            <w:tcW w:w="5494" w:type="dxa"/>
            <w:tcBorders>
              <w:left w:val="single" w:sz="18" w:space="0" w:color="244061" w:themeColor="accent1" w:themeShade="80"/>
            </w:tcBorders>
          </w:tcPr>
          <w:p w:rsidR="000C367D" w:rsidRDefault="000C367D" w:rsidP="00414CC5">
            <w:pPr>
              <w:rPr>
                <w:b/>
                <w:lang w:val="uk-UA"/>
              </w:rPr>
            </w:pPr>
          </w:p>
          <w:p w:rsidR="000C367D" w:rsidRDefault="000C367D" w:rsidP="00414CC5">
            <w:pPr>
              <w:rPr>
                <w:b/>
                <w:lang w:val="uk-UA"/>
              </w:rPr>
            </w:pPr>
          </w:p>
          <w:p w:rsidR="000C367D" w:rsidRPr="006E7A0D" w:rsidRDefault="000C367D" w:rsidP="00414CC5">
            <w:pPr>
              <w:rPr>
                <w:rFonts w:asciiTheme="minorHAnsi" w:hAnsiTheme="minorHAnsi"/>
                <w:b/>
                <w:highlight w:val="yellow"/>
                <w:lang w:val="uk-UA"/>
              </w:rPr>
            </w:pPr>
            <w:r w:rsidRPr="000C367D">
              <w:rPr>
                <w:b/>
                <w:lang w:val="uk-UA"/>
              </w:rPr>
              <w:t xml:space="preserve">9 червня член Національного агентства з питань запобігання корупції (НАЗК) Руслан </w:t>
            </w:r>
            <w:proofErr w:type="spellStart"/>
            <w:r w:rsidRPr="000C367D">
              <w:rPr>
                <w:b/>
                <w:lang w:val="uk-UA"/>
              </w:rPr>
              <w:t>Рябошапка</w:t>
            </w:r>
            <w:proofErr w:type="spellEnd"/>
            <w:r w:rsidRPr="000C367D">
              <w:rPr>
                <w:b/>
                <w:lang w:val="uk-UA"/>
              </w:rPr>
              <w:t xml:space="preserve"> оголосив про відставку зі своєї посади. Коли Кабінет Міністрів прийме його відставку, у складі НАЗК залишиться лише три члени – мінімально необхідна кількість для того, аби агентство могло продовжувати свою роботу.</w:t>
            </w:r>
          </w:p>
        </w:tc>
      </w:tr>
    </w:tbl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Рішення </w:t>
      </w:r>
      <w:proofErr w:type="spellStart"/>
      <w:r w:rsidRPr="000C367D">
        <w:rPr>
          <w:lang w:val="uk-UA"/>
        </w:rPr>
        <w:t>Рябошапки</w:t>
      </w:r>
      <w:proofErr w:type="spellEnd"/>
      <w:r w:rsidRPr="000C367D">
        <w:rPr>
          <w:lang w:val="uk-UA"/>
        </w:rPr>
        <w:t xml:space="preserve"> про відставку не можна назвати повною несподіванкою. Практично протягом усього часу існування НАЗК він вступав у публічні конфлікти з головою цього органу Наталією Корчак, звинувачуючи її в намаганні управляти НАЗК вручну та в обхід законодавства. Більше того, протягом останнього часу члени НАЗК під час важливих голосувань часто ділилися навпіл: Наталію Корчак підтримував Олександр Скопич, тоді як в унісон з Русланом </w:t>
      </w:r>
      <w:proofErr w:type="spellStart"/>
      <w:r w:rsidRPr="000C367D">
        <w:rPr>
          <w:lang w:val="uk-UA"/>
        </w:rPr>
        <w:t>Рябошапкою</w:t>
      </w:r>
      <w:proofErr w:type="spellEnd"/>
      <w:r w:rsidRPr="000C367D">
        <w:rPr>
          <w:lang w:val="uk-UA"/>
        </w:rPr>
        <w:t xml:space="preserve"> голосував четвертий член агентства Руслан </w:t>
      </w:r>
      <w:proofErr w:type="spellStart"/>
      <w:r w:rsidRPr="000C367D">
        <w:rPr>
          <w:lang w:val="uk-UA"/>
        </w:rPr>
        <w:t>Радецький</w:t>
      </w:r>
      <w:proofErr w:type="spellEnd"/>
      <w:r w:rsidRPr="000C367D">
        <w:rPr>
          <w:lang w:val="uk-UA"/>
        </w:rPr>
        <w:t>.</w:t>
      </w:r>
    </w:p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Справжні причини постійних конфліктів усередині НАЗК неоднозначні. У той час, як дехто звинувачував членів НАЗК у нездатності стримати свої амбіції та налагодити командну роботу, інші підозрювали їх у розігруванні заздалегідь розробленого сценарію, покликаного зірвати роботу антикорупційного органу. В будь-якому разі, за останній час НАЗК справді не продемонструвало практично ніякого прогресу в найбільш суспільно значущих питаннях. Зокрема, йому так і не вдалося затвердити перші результати перевірки електронних декларацій високопоставлених чиновників, у тому числі Прем’єр-міністра Володимира </w:t>
      </w:r>
      <w:proofErr w:type="spellStart"/>
      <w:r w:rsidRPr="000C367D">
        <w:rPr>
          <w:lang w:val="uk-UA"/>
        </w:rPr>
        <w:t>Гройсмана</w:t>
      </w:r>
      <w:proofErr w:type="spellEnd"/>
      <w:r w:rsidRPr="000C367D">
        <w:rPr>
          <w:lang w:val="uk-UA"/>
        </w:rPr>
        <w:t>. Так само НАЗК не зміг зафіксувати наявність кримінального злочину в діях партії «Батьківщина», яка, згідно зі спільним розслідуванням цього органу та громадського руху «Чесно», сфальшувала грошові внески на свою користь.</w:t>
      </w:r>
    </w:p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t xml:space="preserve">Після того, як </w:t>
      </w:r>
      <w:proofErr w:type="spellStart"/>
      <w:r w:rsidRPr="000C367D">
        <w:rPr>
          <w:lang w:val="uk-UA"/>
        </w:rPr>
        <w:t>Рябошапка</w:t>
      </w:r>
      <w:proofErr w:type="spellEnd"/>
      <w:r w:rsidRPr="000C367D">
        <w:rPr>
          <w:lang w:val="uk-UA"/>
        </w:rPr>
        <w:t xml:space="preserve"> офіційно залишить свою посаду, робота НАЗК може ще більше ускладнитись, адже для ухвалення будь-якого рішення йому буде необхідна одностайна підтримка усіх трьох членів, що лишилися в його складі. Аби виправити ситуацію, існує принаймні два шляхи. По-перше, Кабінет Міністрів може ініціювати відновлення роботи конкурсної комісії, аби та обрала ще двох членів НАЗК. Ризик цього сценарію полягатиме в намаганні уряду контролювати процес відбору, аби забезпечити обрання лояльних членів антикорупційного агентства.</w:t>
      </w:r>
    </w:p>
    <w:p w:rsidR="000C367D" w:rsidRPr="000C367D" w:rsidRDefault="000C367D" w:rsidP="000C367D">
      <w:pPr>
        <w:rPr>
          <w:lang w:val="uk-UA"/>
        </w:rPr>
      </w:pPr>
      <w:r w:rsidRPr="000C367D">
        <w:rPr>
          <w:lang w:val="uk-UA"/>
        </w:rPr>
        <w:lastRenderedPageBreak/>
        <w:t>Іншим шляхом може стати внесення законодавчих змін, які відкриють дорогу для звільнення усіх членів НАЗК і повного оновлення цього органу завдяки проведенню нового конкурсу. Відповідний законопроект, розроблений урядом, уже зареєстрований у Верховній Раді. Втім, його ухвалення може призвести до подібних негативних наслідків, адже він дає Кабінету Міністрів право на власний розсуд призначати виконувача обов’язків голови НАЗК до обрання його нового складу і більшу свободу у виборі майбутніх членів агентства. Більшу незалежність новим членам НАЗК може гарантувати законопроект, зареєстрований групою народних депутатів на чолі з Віктором Чумаком, однак перспективи його схвалення в парламенті не надто високі, зважаючи на опозиційну приналежність його авторів.</w:t>
      </w:r>
    </w:p>
    <w:p w:rsidR="000C367D" w:rsidRPr="000C367D" w:rsidRDefault="000C367D" w:rsidP="000C367D">
      <w:pPr>
        <w:rPr>
          <w:b/>
          <w:color w:val="0000FF"/>
          <w:u w:val="single"/>
          <w:lang w:val="uk-UA"/>
        </w:rPr>
      </w:pPr>
      <w:r w:rsidRPr="000C367D">
        <w:rPr>
          <w:lang w:val="uk-UA"/>
        </w:rPr>
        <w:t>Нинішня ситуація з НАЗК, вочевидь, влаштовує і уряд, і президента, адже дає їм змогу виправдовувати відсутність помітних результатів у перевірці електронних декларацій чиновників і партійних звітів внутрішніми проблемами самого агентства. Однак без його доукомплектування чи повного оновлення завдяки максимально прозорому конкурсу градус суспільного невдоволення щодо відсутності покарання найбільш одіозних корупціонерів лише зростатиме.</w:t>
      </w:r>
    </w:p>
    <w:p w:rsidR="00417DCF" w:rsidRPr="00005C0C" w:rsidRDefault="000C367D" w:rsidP="00417DCF">
      <w:pPr>
        <w:pStyle w:val="1"/>
      </w:pPr>
      <w:bookmarkStart w:id="3" w:name="_Toc485023001"/>
      <w:r w:rsidRPr="000C367D">
        <w:t>ХТО КОМУ «ВОРОГ» В РОСІЇ?</w:t>
      </w:r>
      <w:bookmarkEnd w:id="3"/>
    </w:p>
    <w:tbl>
      <w:tblPr>
        <w:tblStyle w:val="af0"/>
        <w:tblW w:w="0" w:type="auto"/>
        <w:tblBorders>
          <w:top w:val="none" w:sz="0" w:space="0" w:color="auto"/>
          <w:left w:val="single" w:sz="8" w:space="0" w:color="244061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05"/>
      </w:tblGrid>
      <w:tr w:rsidR="00417DCF" w:rsidRPr="00417DCF" w:rsidTr="00EC5B9E">
        <w:tc>
          <w:tcPr>
            <w:tcW w:w="4266" w:type="dxa"/>
            <w:tcBorders>
              <w:left w:val="nil"/>
              <w:right w:val="single" w:sz="18" w:space="0" w:color="244061" w:themeColor="accent1" w:themeShade="80"/>
            </w:tcBorders>
          </w:tcPr>
          <w:p w:rsidR="00417DCF" w:rsidRDefault="00417DCF" w:rsidP="00EC5B9E">
            <w:pPr>
              <w:rPr>
                <w:noProof/>
                <w:lang w:val="uk-UA" w:eastAsia="uk-UA"/>
              </w:rPr>
            </w:pPr>
          </w:p>
          <w:p w:rsidR="00417DCF" w:rsidRPr="006E7A0D" w:rsidRDefault="00417DCF" w:rsidP="00EC5B9E">
            <w:pPr>
              <w:rPr>
                <w:lang w:val="uk-UA"/>
              </w:rPr>
            </w:pPr>
            <w:r w:rsidRPr="006E7A0D">
              <w:rPr>
                <w:noProof/>
                <w:lang w:val="uk-UA" w:eastAsia="uk-UA"/>
              </w:rPr>
              <w:drawing>
                <wp:inline distT="0" distB="0" distL="0" distR="0" wp14:anchorId="6360E236" wp14:editId="16D31B0B">
                  <wp:extent cx="2035629" cy="1899920"/>
                  <wp:effectExtent l="0" t="0" r="60325" b="62230"/>
                  <wp:docPr id="1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hoto_foc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629" cy="189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17DCF" w:rsidRPr="006E7A0D" w:rsidRDefault="00417DCF" w:rsidP="00EC5B9E">
            <w:pPr>
              <w:rPr>
                <w:lang w:val="uk-UA"/>
              </w:rPr>
            </w:pPr>
            <w:r w:rsidRPr="006E7A0D">
              <w:rPr>
                <w:lang w:val="uk-UA"/>
              </w:rPr>
              <w:t xml:space="preserve"> Руслан </w:t>
            </w:r>
            <w:r w:rsidRPr="006E7A0D">
              <w:rPr>
                <w:b/>
                <w:lang w:val="uk-UA"/>
              </w:rPr>
              <w:t>Кермач</w:t>
            </w:r>
          </w:p>
          <w:p w:rsidR="00417DCF" w:rsidRPr="006E7A0D" w:rsidRDefault="00417DCF" w:rsidP="00EC5B9E">
            <w:pPr>
              <w:rPr>
                <w:sz w:val="28"/>
                <w:szCs w:val="28"/>
                <w:lang w:val="uk-UA"/>
              </w:rPr>
            </w:pPr>
            <w:r w:rsidRPr="006E7A0D">
              <w:rPr>
                <w:sz w:val="20"/>
                <w:szCs w:val="20"/>
                <w:lang w:val="uk-UA"/>
              </w:rPr>
              <w:t xml:space="preserve">Політичний аналітик фонду «Демократичні ініціативи» ім. Ілька </w:t>
            </w:r>
            <w:proofErr w:type="spellStart"/>
            <w:r w:rsidRPr="006E7A0D">
              <w:rPr>
                <w:sz w:val="20"/>
                <w:szCs w:val="20"/>
                <w:lang w:val="uk-UA"/>
              </w:rPr>
              <w:t>Кучеріва</w:t>
            </w:r>
            <w:proofErr w:type="spellEnd"/>
          </w:p>
        </w:tc>
        <w:tc>
          <w:tcPr>
            <w:tcW w:w="5305" w:type="dxa"/>
            <w:tcBorders>
              <w:left w:val="single" w:sz="18" w:space="0" w:color="244061" w:themeColor="accent1" w:themeShade="80"/>
            </w:tcBorders>
            <w:shd w:val="clear" w:color="auto" w:fill="auto"/>
          </w:tcPr>
          <w:p w:rsidR="00417DCF" w:rsidRPr="006E7A0D" w:rsidRDefault="00D75BC5" w:rsidP="00417DCF">
            <w:pPr>
              <w:spacing w:after="240"/>
              <w:ind w:left="16"/>
              <w:rPr>
                <w:rFonts w:asciiTheme="minorHAnsi" w:eastAsia="Times New Roman" w:hAnsiTheme="minorHAnsi"/>
                <w:lang w:val="uk-UA" w:eastAsia="ru-RU"/>
              </w:rPr>
            </w:pPr>
            <w:r w:rsidRPr="00D75BC5">
              <w:rPr>
                <w:b/>
                <w:lang w:val="uk-UA"/>
              </w:rPr>
              <w:t xml:space="preserve">Нещодавно авторитетна російська дослідницька організація «Левада-центр» опублікувала результати свого чергового </w:t>
            </w:r>
            <w:hyperlink r:id="rId13" w:history="1">
              <w:r w:rsidRPr="00D75BC5">
                <w:rPr>
                  <w:rStyle w:val="a3"/>
                  <w:b/>
                  <w:lang w:val="uk-UA"/>
                </w:rPr>
                <w:t>моніторингового опитування</w:t>
              </w:r>
            </w:hyperlink>
            <w:r w:rsidRPr="00D75BC5">
              <w:rPr>
                <w:b/>
                <w:lang w:val="uk-UA"/>
              </w:rPr>
              <w:t xml:space="preserve">, в якому, серед іншого, вивчалась громадська думка росіян щодо "друзів" і "ворогів" Росії на сьогоднішній день. </w:t>
            </w:r>
            <w:proofErr w:type="spellStart"/>
            <w:r w:rsidRPr="00D75BC5">
              <w:rPr>
                <w:b/>
                <w:lang w:val="uk-UA"/>
              </w:rPr>
              <w:t>Примітно</w:t>
            </w:r>
            <w:proofErr w:type="spellEnd"/>
            <w:r w:rsidRPr="00D75BC5">
              <w:rPr>
                <w:b/>
                <w:lang w:val="uk-UA"/>
              </w:rPr>
              <w:t>, що Україна вже протягом кількох останніх років стабільно утримує другу сходинку в списку умовних "ворогів" Росії, поступаючись у рейтингу тільки США. При цьому в 2017 році вороже налаштованою щодо Росії Україну назвали 50% опитаних росіян. Наприклад, в 2014 і 2015 роках таку думку поділяли лише 30% і 37% російських громадян відповідно. Тож очевидним є стрімке зростання сприйняття України як "недружньої, вороже налаштованої до Росії" держави.</w:t>
            </w:r>
          </w:p>
        </w:tc>
      </w:tr>
    </w:tbl>
    <w:p w:rsidR="00D75BC5" w:rsidRPr="00D75BC5" w:rsidRDefault="00D75BC5" w:rsidP="00D75BC5">
      <w:pPr>
        <w:rPr>
          <w:lang w:val="uk-UA"/>
        </w:rPr>
      </w:pPr>
      <w:r w:rsidRPr="00D75BC5">
        <w:rPr>
          <w:lang w:val="uk-UA"/>
        </w:rPr>
        <w:t xml:space="preserve">Зрозуміло, респонденти в Росії у рамках поставленого соціологами питання оцінювали скоріше політику однієї держави (України) до іншої (до Росії), ніж своє ставлення безпосередньо до українських громадян. Це важливо розуміти, щоб уникнути далекосяжних екстраполяції результатів опитування і висновків щодо цілковитої українофобії в Росії. </w:t>
      </w:r>
      <w:hyperlink r:id="rId14" w:history="1">
        <w:r w:rsidRPr="00D75BC5">
          <w:rPr>
            <w:rStyle w:val="a3"/>
            <w:lang w:val="uk-UA"/>
          </w:rPr>
          <w:t>Опитування</w:t>
        </w:r>
      </w:hyperlink>
      <w:r w:rsidRPr="00D75BC5">
        <w:rPr>
          <w:lang w:val="uk-UA"/>
        </w:rPr>
        <w:t>, що їх раніше проводили  журналісти в російських містах, вочевидь вказують на багатошаровість громадської думки росіян, в тому числі щодо України. Складається враження, що росіяни не пов'язують своїх негативних оцінок щодо України безпосередньо з українцями або ж роблять це тільки лише частково.</w:t>
      </w:r>
    </w:p>
    <w:p w:rsidR="00D75BC5" w:rsidRPr="00D75BC5" w:rsidRDefault="00D75BC5" w:rsidP="00D75BC5">
      <w:pPr>
        <w:rPr>
          <w:lang w:val="uk-UA"/>
        </w:rPr>
      </w:pPr>
      <w:r w:rsidRPr="00D75BC5">
        <w:rPr>
          <w:lang w:val="uk-UA"/>
        </w:rPr>
        <w:lastRenderedPageBreak/>
        <w:t>На радше політичний характер оцінки росіянами України в рамках нещодавнього опитування Левада-Центру вказує і загальна динаміка зміни цієї оцінки за весь період моніторингу, починаючи з 2006 року. Якщо подивитися на результати всіх попередніх опитувань, то впадають в око дуже різкі зміни в російській громадській думці щодо "ворожості України" саме в 2010 році (порівняно з 2009 роком) і в 2014 році (також в порівнянні з попереднім роком), коли в Україні відбувалася зміна політичних еліт.</w:t>
      </w:r>
    </w:p>
    <w:p w:rsidR="00D75BC5" w:rsidRPr="00D75BC5" w:rsidRDefault="00D75BC5" w:rsidP="00D75BC5">
      <w:pPr>
        <w:rPr>
          <w:lang w:val="uk-UA"/>
        </w:rPr>
      </w:pPr>
      <w:r w:rsidRPr="00D75BC5">
        <w:rPr>
          <w:lang w:val="uk-UA"/>
        </w:rPr>
        <w:t xml:space="preserve">Так, якщо в період президентства Ющенка в 2009 Україну «недружньою щодо Росії» державою вважали 41% росіян, то вже в 2010 році – після обрання президентом України Віктора Януковича і підписання Харківських угод – таких залишилося лише 13% (падіння більш ніж в 3 рази за один рік). У 2014 році – невдовзі після революційних подій </w:t>
      </w:r>
      <w:proofErr w:type="spellStart"/>
      <w:r w:rsidRPr="00D75BC5">
        <w:rPr>
          <w:lang w:val="uk-UA"/>
        </w:rPr>
        <w:t>Євромайдану</w:t>
      </w:r>
      <w:proofErr w:type="spellEnd"/>
      <w:r w:rsidRPr="00D75BC5">
        <w:rPr>
          <w:lang w:val="uk-UA"/>
        </w:rPr>
        <w:t xml:space="preserve"> і втечі президента Януковича – маятник громадської думки в Росії раптово хитнувся в протилежний бік, і число росіян, які вважають Україну "ворогом" Росії, стрімко зросло практично втричі – до 30% (після 11% у 2013 році).</w:t>
      </w:r>
    </w:p>
    <w:p w:rsidR="00D75BC5" w:rsidRPr="00D75BC5" w:rsidRDefault="00D75BC5" w:rsidP="00D75BC5">
      <w:pPr>
        <w:rPr>
          <w:lang w:val="uk-UA"/>
        </w:rPr>
      </w:pPr>
      <w:r w:rsidRPr="00D75BC5">
        <w:rPr>
          <w:lang w:val="uk-UA"/>
        </w:rPr>
        <w:t>Таким чином, є підстави вважати, що стійких "закоренілих" супротивників України в Росії не так вже й багато, як може здатися на перший погляд. Очевидно, що такі є, але вони явно не становлять більшість. Інакше ми не спостерігали  б таких стрімких "піруетів" в загальній динаміці громадської думки Росії щодо України.</w:t>
      </w:r>
    </w:p>
    <w:p w:rsidR="00D75BC5" w:rsidRPr="00D75BC5" w:rsidRDefault="00D75BC5" w:rsidP="00D75BC5">
      <w:pPr>
        <w:rPr>
          <w:lang w:val="uk-UA"/>
        </w:rPr>
      </w:pPr>
      <w:r w:rsidRPr="00D75BC5">
        <w:rPr>
          <w:lang w:val="uk-UA"/>
        </w:rPr>
        <w:t xml:space="preserve">При цьому сприйняття України в сусідній країні характеризується високим ступенем нестійкості і схильне до серйозних коливань, прив'язаних у  часі до змін політичного характеру в самій Україні. З огляду на високу довіру російських громадян до телебачення а, з іншого боку, контрольованість телевізійного простору з боку російської влади, </w:t>
      </w:r>
      <w:proofErr w:type="spellStart"/>
      <w:r w:rsidRPr="00D75BC5">
        <w:rPr>
          <w:lang w:val="uk-UA"/>
        </w:rPr>
        <w:t>логічно</w:t>
      </w:r>
      <w:proofErr w:type="spellEnd"/>
      <w:r w:rsidRPr="00D75BC5">
        <w:rPr>
          <w:lang w:val="uk-UA"/>
        </w:rPr>
        <w:t xml:space="preserve"> припустити, що стрімкі перетворення думки росіян, як і формування образу "ворогів", безпосередньо пов'язані з тим порядком денним, який директивно задає російським телеканалам Кремль, виходячи зі своїх політико-пропагандистських цілей.</w:t>
      </w:r>
    </w:p>
    <w:p w:rsidR="00D75BC5" w:rsidRPr="00D75BC5" w:rsidRDefault="00D75BC5" w:rsidP="00D75BC5">
      <w:pPr>
        <w:rPr>
          <w:lang w:val="uk-UA"/>
        </w:rPr>
      </w:pPr>
      <w:r w:rsidRPr="00D75BC5">
        <w:rPr>
          <w:lang w:val="uk-UA"/>
        </w:rPr>
        <w:t>Для нашої країни результати опитування, згідно з яким Україна сприймається росіянами як один із ключових "ворогів" Росії, не обіцяють нічого хорошого і можуть навіть приховувати потенційні загрози. З огляду на дедалі більше прагнення нинішнього російського керівництва зміцнювати свій політичний режим, перш за все, через пошук та протистояння «зовнішнім ворогам», Україна може знову опинитися ключовою мішенню нападів або ж чергових агресивних провокацій з боку сусідньої держави.</w:t>
      </w:r>
    </w:p>
    <w:p w:rsidR="00033B41" w:rsidRPr="00D75BC5" w:rsidRDefault="00D75BC5" w:rsidP="00033B41">
      <w:pPr>
        <w:rPr>
          <w:rStyle w:val="a3"/>
          <w:color w:val="auto"/>
          <w:u w:val="none"/>
          <w:lang w:val="uk-UA"/>
        </w:rPr>
      </w:pPr>
      <w:r w:rsidRPr="00D75BC5">
        <w:rPr>
          <w:lang w:val="uk-UA"/>
        </w:rPr>
        <w:t xml:space="preserve">Оригінал: </w:t>
      </w:r>
      <w:hyperlink r:id="rId15" w:history="1">
        <w:proofErr w:type="spellStart"/>
        <w:r w:rsidRPr="00D75BC5">
          <w:rPr>
            <w:rStyle w:val="a3"/>
            <w:lang w:val="uk-UA"/>
          </w:rPr>
          <w:t>Новое</w:t>
        </w:r>
        <w:proofErr w:type="spellEnd"/>
        <w:r w:rsidRPr="00D75BC5">
          <w:rPr>
            <w:rStyle w:val="a3"/>
            <w:lang w:val="uk-UA"/>
          </w:rPr>
          <w:t xml:space="preserve"> </w:t>
        </w:r>
        <w:proofErr w:type="spellStart"/>
        <w:r w:rsidRPr="00D75BC5">
          <w:rPr>
            <w:rStyle w:val="a3"/>
            <w:lang w:val="uk-UA"/>
          </w:rPr>
          <w:t>время</w:t>
        </w:r>
        <w:proofErr w:type="spellEnd"/>
      </w:hyperlink>
    </w:p>
    <w:p w:rsidR="00033B41" w:rsidRDefault="00033B41" w:rsidP="00033B41">
      <w:pPr>
        <w:rPr>
          <w:rStyle w:val="a3"/>
          <w:b/>
          <w:lang w:val="uk-UA"/>
        </w:rPr>
      </w:pPr>
    </w:p>
    <w:p w:rsidR="00033B41" w:rsidRDefault="00033B41" w:rsidP="00033B41">
      <w:pPr>
        <w:rPr>
          <w:rStyle w:val="a3"/>
          <w:b/>
          <w:lang w:val="uk-UA"/>
        </w:rPr>
      </w:pPr>
    </w:p>
    <w:p w:rsidR="00033B41" w:rsidRDefault="00033B41" w:rsidP="00033B41">
      <w:pPr>
        <w:rPr>
          <w:rStyle w:val="a3"/>
          <w:b/>
          <w:lang w:val="uk-UA"/>
        </w:rPr>
      </w:pPr>
    </w:p>
    <w:p w:rsidR="00033B41" w:rsidRDefault="00033B41" w:rsidP="00033B41">
      <w:pPr>
        <w:rPr>
          <w:rStyle w:val="a3"/>
          <w:b/>
          <w:lang w:val="uk-UA"/>
        </w:rPr>
      </w:pPr>
    </w:p>
    <w:p w:rsidR="00033B41" w:rsidRDefault="00033B41" w:rsidP="00033B41">
      <w:pPr>
        <w:rPr>
          <w:rStyle w:val="a3"/>
          <w:b/>
          <w:lang w:val="uk-UA"/>
        </w:rPr>
      </w:pPr>
    </w:p>
    <w:p w:rsidR="00033B41" w:rsidRDefault="00033B41" w:rsidP="00033B41">
      <w:pPr>
        <w:rPr>
          <w:b/>
          <w:lang w:val="uk-UA"/>
        </w:rPr>
      </w:pPr>
    </w:p>
    <w:p w:rsidR="00D75BC5" w:rsidRDefault="00D75BC5" w:rsidP="00033B41">
      <w:pPr>
        <w:rPr>
          <w:b/>
          <w:lang w:val="uk-UA"/>
        </w:rPr>
      </w:pPr>
    </w:p>
    <w:p w:rsidR="00D75BC5" w:rsidRDefault="00D75BC5" w:rsidP="00033B41">
      <w:pPr>
        <w:rPr>
          <w:b/>
          <w:lang w:val="uk-UA"/>
        </w:rPr>
      </w:pPr>
    </w:p>
    <w:p w:rsidR="00D75BC5" w:rsidRDefault="00D75BC5" w:rsidP="00033B41">
      <w:pPr>
        <w:rPr>
          <w:b/>
          <w:lang w:val="uk-UA"/>
        </w:rPr>
      </w:pPr>
    </w:p>
    <w:p w:rsidR="00D75BC5" w:rsidRDefault="00D75BC5" w:rsidP="00033B41">
      <w:pPr>
        <w:rPr>
          <w:b/>
          <w:lang w:val="uk-UA"/>
        </w:rPr>
      </w:pPr>
    </w:p>
    <w:p w:rsidR="00D75BC5" w:rsidRDefault="00D75BC5" w:rsidP="00033B41">
      <w:pPr>
        <w:rPr>
          <w:b/>
          <w:lang w:val="uk-UA"/>
        </w:rPr>
      </w:pPr>
    </w:p>
    <w:p w:rsidR="00D75BC5" w:rsidRPr="004A15A5" w:rsidRDefault="00D75BC5" w:rsidP="00033B41">
      <w:pPr>
        <w:rPr>
          <w:b/>
          <w:lang w:val="uk-UA"/>
        </w:rPr>
      </w:pPr>
    </w:p>
    <w:p w:rsidR="007D52DE" w:rsidRPr="006E7A0D" w:rsidRDefault="00033B41" w:rsidP="00033B41">
      <w:pPr>
        <w:pBdr>
          <w:top w:val="single" w:sz="4" w:space="1" w:color="auto"/>
          <w:bottom w:val="single" w:sz="4" w:space="1" w:color="auto"/>
        </w:pBdr>
        <w:shd w:val="clear" w:color="auto" w:fill="F2F2F2"/>
        <w:rPr>
          <w:rFonts w:cs="Calibri"/>
          <w:b/>
          <w:lang w:val="uk-UA"/>
        </w:rPr>
      </w:pPr>
      <w:r w:rsidRPr="006E7A0D">
        <w:rPr>
          <w:rFonts w:cs="Calibri"/>
          <w:b/>
          <w:i/>
          <w:lang w:val="uk-UA"/>
        </w:rPr>
        <w:t xml:space="preserve"> </w:t>
      </w:r>
      <w:r w:rsidR="007D52DE" w:rsidRPr="006E7A0D">
        <w:rPr>
          <w:rFonts w:cs="Calibri"/>
          <w:b/>
          <w:i/>
          <w:lang w:val="uk-UA"/>
        </w:rPr>
        <w:t xml:space="preserve">«Україна у фокусі» </w:t>
      </w:r>
      <w:r w:rsidR="007D52DE" w:rsidRPr="006E7A0D">
        <w:rPr>
          <w:rFonts w:cs="Calibri"/>
          <w:i/>
          <w:lang w:val="uk-UA"/>
        </w:rPr>
        <w:t>–</w:t>
      </w:r>
      <w:r w:rsidR="007D52DE" w:rsidRPr="006E7A0D">
        <w:rPr>
          <w:rFonts w:cs="Calibri"/>
          <w:b/>
          <w:i/>
          <w:lang w:val="uk-UA"/>
        </w:rPr>
        <w:t xml:space="preserve"> </w:t>
      </w:r>
      <w:r w:rsidR="007D52DE" w:rsidRPr="006E7A0D">
        <w:rPr>
          <w:rFonts w:cs="Calibri"/>
          <w:lang w:val="uk-UA"/>
        </w:rPr>
        <w:t xml:space="preserve">щотижневий інформаційно-аналітичний бюлетень Фонду «Демократичні ініціативи» імені Ілька </w:t>
      </w:r>
      <w:proofErr w:type="spellStart"/>
      <w:r w:rsidR="007D52DE" w:rsidRPr="006E7A0D">
        <w:rPr>
          <w:rFonts w:cs="Calibri"/>
          <w:lang w:val="uk-UA"/>
        </w:rPr>
        <w:t>Кучеріва</w:t>
      </w:r>
      <w:proofErr w:type="spellEnd"/>
      <w:r w:rsidR="007D52DE" w:rsidRPr="006E7A0D">
        <w:rPr>
          <w:rFonts w:cs="Calibri"/>
          <w:lang w:val="uk-UA"/>
        </w:rPr>
        <w:t xml:space="preserve"> (http://dif.org.ua).</w:t>
      </w:r>
      <w:r w:rsidR="007D52DE" w:rsidRPr="006E7A0D">
        <w:rPr>
          <w:rFonts w:cs="Calibri"/>
          <w:b/>
          <w:i/>
          <w:lang w:val="uk-UA"/>
        </w:rPr>
        <w:t xml:space="preserve">  </w:t>
      </w:r>
    </w:p>
    <w:p w:rsidR="007D52DE" w:rsidRPr="006E7A0D" w:rsidRDefault="007D52DE" w:rsidP="007D52DE">
      <w:pPr>
        <w:pBdr>
          <w:top w:val="single" w:sz="4" w:space="1" w:color="auto"/>
          <w:bottom w:val="single" w:sz="4" w:space="1" w:color="auto"/>
        </w:pBdr>
        <w:shd w:val="clear" w:color="auto" w:fill="F2F2F2"/>
        <w:jc w:val="center"/>
        <w:rPr>
          <w:rFonts w:cs="Calibri"/>
          <w:b/>
          <w:lang w:val="uk-UA"/>
        </w:rPr>
      </w:pPr>
      <w:r w:rsidRPr="006E7A0D">
        <w:rPr>
          <w:rFonts w:cs="Calibri"/>
          <w:b/>
          <w:lang w:val="uk-UA"/>
        </w:rPr>
        <w:t>Аналітики фонду «ДІ»:</w:t>
      </w:r>
    </w:p>
    <w:p w:rsidR="007D52DE" w:rsidRPr="006E7A0D" w:rsidRDefault="007D52DE" w:rsidP="007D52DE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0" w:afterAutospacing="0"/>
        <w:jc w:val="center"/>
        <w:rPr>
          <w:rFonts w:cs="Calibri"/>
          <w:b/>
          <w:i/>
          <w:lang w:val="uk-UA"/>
        </w:rPr>
      </w:pPr>
      <w:r w:rsidRPr="006E7A0D">
        <w:rPr>
          <w:rFonts w:cs="Calibri"/>
          <w:i/>
          <w:lang w:val="uk-UA"/>
        </w:rPr>
        <w:t>Ірина</w:t>
      </w:r>
      <w:r w:rsidRPr="006E7A0D">
        <w:rPr>
          <w:rFonts w:cs="Calibri"/>
          <w:b/>
          <w:i/>
          <w:lang w:val="uk-UA"/>
        </w:rPr>
        <w:t xml:space="preserve"> </w:t>
      </w:r>
      <w:proofErr w:type="spellStart"/>
      <w:r w:rsidRPr="006E7A0D">
        <w:rPr>
          <w:rFonts w:cs="Calibri"/>
          <w:b/>
          <w:i/>
          <w:lang w:val="uk-UA"/>
        </w:rPr>
        <w:t>Бекешкіна</w:t>
      </w:r>
      <w:proofErr w:type="spellEnd"/>
      <w:r w:rsidRPr="006E7A0D">
        <w:rPr>
          <w:rFonts w:cs="Calibri"/>
          <w:b/>
          <w:i/>
          <w:lang w:val="uk-UA"/>
        </w:rPr>
        <w:br/>
      </w:r>
      <w:r w:rsidRPr="006E7A0D">
        <w:rPr>
          <w:rFonts w:cs="Calibri"/>
          <w:i/>
          <w:lang w:val="uk-UA"/>
        </w:rPr>
        <w:t>Олексій</w:t>
      </w:r>
      <w:r w:rsidRPr="006E7A0D">
        <w:rPr>
          <w:rFonts w:cs="Calibri"/>
          <w:b/>
          <w:i/>
          <w:lang w:val="uk-UA"/>
        </w:rPr>
        <w:t xml:space="preserve"> </w:t>
      </w:r>
      <w:proofErr w:type="spellStart"/>
      <w:r w:rsidRPr="006E7A0D">
        <w:rPr>
          <w:rFonts w:cs="Calibri"/>
          <w:b/>
          <w:i/>
          <w:lang w:val="uk-UA"/>
        </w:rPr>
        <w:t>Гарань</w:t>
      </w:r>
      <w:proofErr w:type="spellEnd"/>
      <w:r w:rsidRPr="006E7A0D">
        <w:rPr>
          <w:rFonts w:cs="Calibri"/>
          <w:b/>
          <w:i/>
          <w:lang w:val="uk-UA"/>
        </w:rPr>
        <w:br/>
      </w:r>
      <w:r w:rsidRPr="006E7A0D">
        <w:rPr>
          <w:rFonts w:cs="Calibri"/>
          <w:i/>
          <w:lang w:val="uk-UA"/>
        </w:rPr>
        <w:t>Марія</w:t>
      </w:r>
      <w:r w:rsidRPr="006E7A0D">
        <w:rPr>
          <w:rFonts w:cs="Calibri"/>
          <w:b/>
          <w:i/>
          <w:lang w:val="uk-UA"/>
        </w:rPr>
        <w:t xml:space="preserve"> </w:t>
      </w:r>
      <w:proofErr w:type="spellStart"/>
      <w:r w:rsidRPr="006E7A0D">
        <w:rPr>
          <w:rFonts w:cs="Calibri"/>
          <w:b/>
          <w:i/>
          <w:lang w:val="uk-UA"/>
        </w:rPr>
        <w:t>Золкіна</w:t>
      </w:r>
      <w:proofErr w:type="spellEnd"/>
      <w:r w:rsidRPr="006E7A0D">
        <w:rPr>
          <w:rFonts w:cs="Calibri"/>
          <w:b/>
          <w:i/>
          <w:lang w:val="uk-UA"/>
        </w:rPr>
        <w:br/>
      </w:r>
      <w:r w:rsidRPr="006E7A0D">
        <w:rPr>
          <w:rFonts w:cs="Calibri"/>
          <w:i/>
          <w:lang w:val="uk-UA"/>
        </w:rPr>
        <w:t>Руслан</w:t>
      </w:r>
      <w:r w:rsidRPr="006E7A0D">
        <w:rPr>
          <w:rFonts w:cs="Calibri"/>
          <w:b/>
          <w:i/>
          <w:lang w:val="uk-UA"/>
        </w:rPr>
        <w:t xml:space="preserve"> Кермач</w:t>
      </w:r>
      <w:r w:rsidRPr="006E7A0D">
        <w:rPr>
          <w:rFonts w:cs="Calibri"/>
          <w:b/>
          <w:i/>
          <w:lang w:val="uk-UA"/>
        </w:rPr>
        <w:br/>
      </w:r>
      <w:r w:rsidRPr="006E7A0D">
        <w:rPr>
          <w:rFonts w:cs="Calibri"/>
          <w:i/>
          <w:lang w:val="uk-UA"/>
        </w:rPr>
        <w:t>Олексій</w:t>
      </w:r>
      <w:r w:rsidRPr="006E7A0D">
        <w:rPr>
          <w:rFonts w:cs="Calibri"/>
          <w:b/>
          <w:i/>
          <w:lang w:val="uk-UA"/>
        </w:rPr>
        <w:t xml:space="preserve"> Сидорчук</w:t>
      </w:r>
    </w:p>
    <w:p w:rsidR="007D52DE" w:rsidRPr="006E7A0D" w:rsidRDefault="007D52DE" w:rsidP="007D52DE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0" w:beforeAutospacing="0" w:after="0" w:afterAutospacing="0"/>
        <w:jc w:val="center"/>
        <w:rPr>
          <w:rFonts w:cs="Calibri"/>
          <w:b/>
          <w:i/>
          <w:lang w:val="uk-UA"/>
        </w:rPr>
      </w:pPr>
      <w:r w:rsidRPr="006E7A0D">
        <w:rPr>
          <w:rFonts w:cs="Calibri"/>
          <w:i/>
          <w:lang w:val="uk-UA"/>
        </w:rPr>
        <w:t>Андрій</w:t>
      </w:r>
      <w:r w:rsidRPr="006E7A0D">
        <w:rPr>
          <w:rFonts w:cs="Calibri"/>
          <w:b/>
          <w:i/>
          <w:lang w:val="uk-UA"/>
        </w:rPr>
        <w:t xml:space="preserve"> Сухарина</w:t>
      </w:r>
    </w:p>
    <w:p w:rsidR="007D52DE" w:rsidRDefault="007D52DE" w:rsidP="00417DCF">
      <w:pPr>
        <w:pBdr>
          <w:top w:val="single" w:sz="4" w:space="1" w:color="auto"/>
          <w:bottom w:val="single" w:sz="4" w:space="1" w:color="auto"/>
        </w:pBdr>
        <w:shd w:val="clear" w:color="auto" w:fill="F2F2F2"/>
        <w:spacing w:after="0" w:afterAutospacing="0"/>
        <w:jc w:val="center"/>
        <w:rPr>
          <w:rFonts w:cs="Calibri"/>
          <w:b/>
          <w:i/>
          <w:lang w:val="uk-UA"/>
        </w:rPr>
      </w:pPr>
      <w:r w:rsidRPr="006E7A0D">
        <w:rPr>
          <w:rFonts w:cs="Calibri"/>
          <w:b/>
          <w:i/>
          <w:lang w:val="uk-UA"/>
        </w:rPr>
        <w:br/>
      </w:r>
      <w:r w:rsidRPr="006E7A0D">
        <w:rPr>
          <w:rFonts w:cs="Calibri"/>
          <w:b/>
          <w:lang w:val="uk-UA"/>
        </w:rPr>
        <w:t>Редактор випуску</w:t>
      </w:r>
      <w:r w:rsidRPr="006E7A0D">
        <w:rPr>
          <w:rFonts w:cs="Calibri"/>
          <w:b/>
          <w:i/>
          <w:lang w:val="uk-UA"/>
        </w:rPr>
        <w:t>:</w:t>
      </w:r>
      <w:r w:rsidRPr="006E7A0D">
        <w:rPr>
          <w:rFonts w:cs="Calibri"/>
          <w:b/>
          <w:lang w:val="uk-UA"/>
        </w:rPr>
        <w:t xml:space="preserve"> </w:t>
      </w:r>
      <w:r w:rsidRPr="006E7A0D">
        <w:rPr>
          <w:rFonts w:cs="Calibri"/>
          <w:i/>
          <w:lang w:val="uk-UA"/>
        </w:rPr>
        <w:t>Ірина</w:t>
      </w:r>
      <w:r w:rsidRPr="006E7A0D">
        <w:rPr>
          <w:rFonts w:cs="Calibri"/>
          <w:b/>
          <w:i/>
          <w:lang w:val="uk-UA"/>
        </w:rPr>
        <w:t xml:space="preserve"> </w:t>
      </w:r>
      <w:proofErr w:type="spellStart"/>
      <w:r w:rsidRPr="006E7A0D">
        <w:rPr>
          <w:rFonts w:cs="Calibri"/>
          <w:b/>
          <w:i/>
          <w:lang w:val="uk-UA"/>
        </w:rPr>
        <w:t>Філіпчук</w:t>
      </w:r>
      <w:proofErr w:type="spellEnd"/>
    </w:p>
    <w:p w:rsidR="00417DCF" w:rsidRPr="00417DCF" w:rsidRDefault="00417DCF" w:rsidP="00417DCF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0" w:beforeAutospacing="0"/>
        <w:jc w:val="center"/>
        <w:rPr>
          <w:rFonts w:cs="Calibri"/>
          <w:b/>
          <w:i/>
          <w:lang w:val="uk-UA"/>
        </w:rPr>
      </w:pPr>
      <w:r w:rsidRPr="00417DCF">
        <w:rPr>
          <w:rFonts w:cs="Calibri"/>
          <w:b/>
          <w:lang w:val="uk-UA"/>
        </w:rPr>
        <w:t>Обкладинка і верстка</w:t>
      </w:r>
      <w:r>
        <w:rPr>
          <w:rFonts w:cs="Calibri"/>
          <w:b/>
          <w:i/>
          <w:lang w:val="uk-UA"/>
        </w:rPr>
        <w:t xml:space="preserve">: </w:t>
      </w:r>
      <w:r>
        <w:rPr>
          <w:rFonts w:cs="Calibri"/>
          <w:i/>
          <w:lang w:val="uk-UA"/>
        </w:rPr>
        <w:t xml:space="preserve">Ілля </w:t>
      </w:r>
      <w:proofErr w:type="spellStart"/>
      <w:r>
        <w:rPr>
          <w:rFonts w:cs="Calibri"/>
          <w:b/>
          <w:i/>
          <w:lang w:val="uk-UA"/>
        </w:rPr>
        <w:t>Свергун</w:t>
      </w:r>
      <w:proofErr w:type="spellEnd"/>
    </w:p>
    <w:sectPr w:rsidR="00417DCF" w:rsidRPr="00417DCF" w:rsidSect="00512661">
      <w:headerReference w:type="default" r:id="rId16"/>
      <w:footerReference w:type="default" r:id="rId17"/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50" w:rsidRDefault="009F0A50" w:rsidP="00057F3D">
      <w:r>
        <w:separator/>
      </w:r>
    </w:p>
  </w:endnote>
  <w:endnote w:type="continuationSeparator" w:id="0">
    <w:p w:rsidR="009F0A50" w:rsidRDefault="009F0A50" w:rsidP="0005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0009"/>
      <w:docPartObj>
        <w:docPartGallery w:val="Page Numbers (Bottom of Page)"/>
        <w:docPartUnique/>
      </w:docPartObj>
    </w:sdtPr>
    <w:sdtEndPr>
      <w:rPr>
        <w:color w:val="244061" w:themeColor="accent1" w:themeShade="80"/>
        <w:sz w:val="32"/>
        <w:szCs w:val="32"/>
      </w:rPr>
    </w:sdtEndPr>
    <w:sdtContent>
      <w:p w:rsidR="0052222E" w:rsidRDefault="00BD4409">
        <w:pPr>
          <w:pStyle w:val="ae"/>
          <w:jc w:val="center"/>
        </w:pPr>
        <w:r>
          <w:rPr>
            <w:b/>
            <w:color w:val="244061" w:themeColor="accent1" w:themeShade="80"/>
            <w:sz w:val="32"/>
            <w:szCs w:val="32"/>
          </w:rPr>
          <w:fldChar w:fldCharType="begin"/>
        </w:r>
        <w:r w:rsidR="00512661">
          <w:rPr>
            <w:b/>
            <w:color w:val="244061" w:themeColor="accent1" w:themeShade="80"/>
            <w:sz w:val="32"/>
            <w:szCs w:val="32"/>
          </w:rPr>
          <w:instrText xml:space="preserve"> PAGE   \* MERGEFORMAT </w:instrText>
        </w:r>
        <w:r>
          <w:rPr>
            <w:b/>
            <w:color w:val="244061" w:themeColor="accent1" w:themeShade="80"/>
            <w:sz w:val="32"/>
            <w:szCs w:val="32"/>
          </w:rPr>
          <w:fldChar w:fldCharType="separate"/>
        </w:r>
        <w:r w:rsidR="00732FB3">
          <w:rPr>
            <w:b/>
            <w:noProof/>
            <w:color w:val="244061" w:themeColor="accent1" w:themeShade="80"/>
            <w:sz w:val="32"/>
            <w:szCs w:val="32"/>
          </w:rPr>
          <w:t>6</w:t>
        </w:r>
        <w:r>
          <w:rPr>
            <w:b/>
            <w:color w:val="244061" w:themeColor="accent1" w:themeShade="80"/>
            <w:sz w:val="32"/>
            <w:szCs w:val="32"/>
          </w:rPr>
          <w:fldChar w:fldCharType="end"/>
        </w:r>
      </w:p>
    </w:sdtContent>
  </w:sdt>
  <w:p w:rsidR="0052222E" w:rsidRDefault="005222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50" w:rsidRDefault="009F0A50" w:rsidP="00057F3D">
      <w:r>
        <w:separator/>
      </w:r>
    </w:p>
  </w:footnote>
  <w:footnote w:type="continuationSeparator" w:id="0">
    <w:p w:rsidR="009F0A50" w:rsidRDefault="009F0A50" w:rsidP="00057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523"/>
      <w:docPartObj>
        <w:docPartGallery w:val="Page Numbers (Margins)"/>
        <w:docPartUnique/>
      </w:docPartObj>
    </w:sdtPr>
    <w:sdtEndPr/>
    <w:sdtContent>
      <w:p w:rsidR="00512661" w:rsidRDefault="002B325C">
        <w:pPr>
          <w:pStyle w:val="ac"/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19455" cy="8070215"/>
                  <wp:effectExtent l="0" t="0" r="4445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8070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661" w:rsidRPr="00512661" w:rsidRDefault="00512661" w:rsidP="00512661">
                              <w:pPr>
                                <w:rPr>
                                  <w:b/>
                                  <w:color w:val="244061" w:themeColor="accent1" w:themeShade="80"/>
                                  <w:lang w:val="uk-UA"/>
                                </w:rPr>
                              </w:pPr>
                              <w:proofErr w:type="spellStart"/>
                              <w:r w:rsidRPr="00512661">
                                <w:rPr>
                                  <w:b/>
                                  <w:color w:val="244061" w:themeColor="accent1" w:themeShade="80"/>
                                  <w:lang w:val="en-US"/>
                                </w:rPr>
                                <w:t>dif</w:t>
                              </w:r>
                              <w:proofErr w:type="spellEnd"/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>.</w:t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  <w:lang w:val="en-US"/>
                                </w:rPr>
                                <w:t>org</w:t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>.</w:t>
                              </w:r>
                              <w:proofErr w:type="spellStart"/>
                              <w:r w:rsidRPr="00512661">
                                <w:rPr>
                                  <w:b/>
                                  <w:color w:val="244061" w:themeColor="accent1" w:themeShade="80"/>
                                  <w:lang w:val="en-US"/>
                                </w:rPr>
                                <w:t>ua</w:t>
                              </w:r>
                              <w:proofErr w:type="spellEnd"/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proofErr w:type="spellStart"/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>Україна</w:t>
                              </w:r>
                              <w:proofErr w:type="spellEnd"/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 xml:space="preserve"> у </w:t>
                              </w:r>
                              <w:proofErr w:type="spellStart"/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>фокусі</w:t>
                              </w:r>
                              <w:proofErr w:type="spellEnd"/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Pr="00512661">
                                <w:rPr>
                                  <w:b/>
                                  <w:color w:val="244061" w:themeColor="accent1" w:themeShade="80"/>
                                </w:rPr>
                                <w:tab/>
                              </w:r>
                              <w:r w:rsidR="000C367D">
                                <w:rPr>
                                  <w:b/>
                                  <w:color w:val="244061" w:themeColor="accent1" w:themeShade="80"/>
                                  <w:lang w:val="uk-UA"/>
                                </w:rPr>
                                <w:t>Червень</w:t>
                              </w:r>
                              <w:r w:rsidR="00B50725">
                                <w:rPr>
                                  <w:b/>
                                  <w:color w:val="244061" w:themeColor="accent1" w:themeShade="80"/>
                                  <w:lang w:val="uk-UA"/>
                                </w:rPr>
                                <w:t xml:space="preserve"> </w:t>
                              </w:r>
                              <w:r w:rsidR="000C367D">
                                <w:rPr>
                                  <w:b/>
                                  <w:color w:val="244061" w:themeColor="accent1" w:themeShade="80"/>
                                </w:rPr>
                                <w:t>5-</w:t>
                              </w:r>
                              <w:r w:rsidR="000C367D">
                                <w:rPr>
                                  <w:b/>
                                  <w:color w:val="244061" w:themeColor="accent1" w:themeShade="80"/>
                                  <w:lang w:val="uk-UA"/>
                                </w:rPr>
                                <w:t>11</w:t>
                              </w:r>
                              <w:r w:rsidR="005C3F95">
                                <w:rPr>
                                  <w:b/>
                                  <w:color w:val="244061" w:themeColor="accent1" w:themeShade="80"/>
                                  <w:lang w:val="uk-UA"/>
                                </w:rPr>
                                <w:tab/>
                              </w:r>
                              <w:r w:rsidR="005C3F95">
                                <w:rPr>
                                  <w:b/>
                                  <w:color w:val="244061" w:themeColor="accent1" w:themeShade="80"/>
                                  <w:lang w:val="uk-UA"/>
                                </w:rPr>
                                <w:tab/>
                              </w:r>
                            </w:p>
                            <w:p w:rsidR="00512661" w:rsidRPr="00512661" w:rsidRDefault="00512661" w:rsidP="00512661">
                              <w:pPr>
                                <w:rPr>
                                  <w:color w:val="244061" w:themeColor="accent1" w:themeShade="80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6.65pt;height:635.45pt;z-index:25166028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" o:allowincell="f" stroked="f">
                  <v:textbox style="layout-flow:vertical;mso-layout-flow-alt:bottom-to-top">
                    <w:txbxContent>
                      <w:p w:rsidR="00512661" w:rsidRPr="00512661" w:rsidRDefault="00512661" w:rsidP="00512661">
                        <w:pPr>
                          <w:rPr>
                            <w:b/>
                            <w:color w:val="244061" w:themeColor="accent1" w:themeShade="80"/>
                            <w:lang w:val="uk-UA"/>
                          </w:rPr>
                        </w:pPr>
                        <w:proofErr w:type="spellStart"/>
                        <w:r w:rsidRPr="00512661">
                          <w:rPr>
                            <w:b/>
                            <w:color w:val="244061" w:themeColor="accent1" w:themeShade="80"/>
                            <w:lang w:val="en-US"/>
                          </w:rPr>
                          <w:t>dif</w:t>
                        </w:r>
                        <w:proofErr w:type="spellEnd"/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>.</w:t>
                        </w:r>
                        <w:r w:rsidRPr="00512661">
                          <w:rPr>
                            <w:b/>
                            <w:color w:val="244061" w:themeColor="accent1" w:themeShade="80"/>
                            <w:lang w:val="en-US"/>
                          </w:rPr>
                          <w:t>org</w:t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>.</w:t>
                        </w:r>
                        <w:proofErr w:type="spellStart"/>
                        <w:r w:rsidRPr="00512661">
                          <w:rPr>
                            <w:b/>
                            <w:color w:val="244061" w:themeColor="accent1" w:themeShade="80"/>
                            <w:lang w:val="en-US"/>
                          </w:rPr>
                          <w:t>ua</w:t>
                        </w:r>
                        <w:proofErr w:type="spellEnd"/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proofErr w:type="spellStart"/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>Україна</w:t>
                        </w:r>
                        <w:proofErr w:type="spellEnd"/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 xml:space="preserve"> у </w:t>
                        </w:r>
                        <w:proofErr w:type="spellStart"/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>фокусі</w:t>
                        </w:r>
                        <w:proofErr w:type="spellEnd"/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Pr="00512661">
                          <w:rPr>
                            <w:b/>
                            <w:color w:val="244061" w:themeColor="accent1" w:themeShade="80"/>
                          </w:rPr>
                          <w:tab/>
                        </w:r>
                        <w:r w:rsidR="000C367D">
                          <w:rPr>
                            <w:b/>
                            <w:color w:val="244061" w:themeColor="accent1" w:themeShade="80"/>
                            <w:lang w:val="uk-UA"/>
                          </w:rPr>
                          <w:t>Червень</w:t>
                        </w:r>
                        <w:r w:rsidR="00B50725">
                          <w:rPr>
                            <w:b/>
                            <w:color w:val="244061" w:themeColor="accent1" w:themeShade="80"/>
                            <w:lang w:val="uk-UA"/>
                          </w:rPr>
                          <w:t xml:space="preserve"> </w:t>
                        </w:r>
                        <w:r w:rsidR="000C367D">
                          <w:rPr>
                            <w:b/>
                            <w:color w:val="244061" w:themeColor="accent1" w:themeShade="80"/>
                          </w:rPr>
                          <w:t>5-</w:t>
                        </w:r>
                        <w:r w:rsidR="000C367D">
                          <w:rPr>
                            <w:b/>
                            <w:color w:val="244061" w:themeColor="accent1" w:themeShade="80"/>
                            <w:lang w:val="uk-UA"/>
                          </w:rPr>
                          <w:t>11</w:t>
                        </w:r>
                        <w:r w:rsidR="005C3F95">
                          <w:rPr>
                            <w:b/>
                            <w:color w:val="244061" w:themeColor="accent1" w:themeShade="80"/>
                            <w:lang w:val="uk-UA"/>
                          </w:rPr>
                          <w:tab/>
                        </w:r>
                        <w:r w:rsidR="005C3F95">
                          <w:rPr>
                            <w:b/>
                            <w:color w:val="244061" w:themeColor="accent1" w:themeShade="80"/>
                            <w:lang w:val="uk-UA"/>
                          </w:rPr>
                          <w:tab/>
                        </w:r>
                      </w:p>
                      <w:p w:rsidR="00512661" w:rsidRPr="00512661" w:rsidRDefault="00512661" w:rsidP="00512661">
                        <w:pPr>
                          <w:rPr>
                            <w:color w:val="244061" w:themeColor="accent1" w:themeShade="80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02C"/>
    <w:multiLevelType w:val="multilevel"/>
    <w:tmpl w:val="11E27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6B41FD3"/>
    <w:multiLevelType w:val="hybridMultilevel"/>
    <w:tmpl w:val="0FB2A0A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C62B4"/>
    <w:multiLevelType w:val="multilevel"/>
    <w:tmpl w:val="9C1C4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870F4"/>
    <w:multiLevelType w:val="hybridMultilevel"/>
    <w:tmpl w:val="6016962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90985"/>
    <w:multiLevelType w:val="multilevel"/>
    <w:tmpl w:val="E6B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73962"/>
    <w:multiLevelType w:val="multilevel"/>
    <w:tmpl w:val="2892E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25F00D9"/>
    <w:multiLevelType w:val="multilevel"/>
    <w:tmpl w:val="5ABE8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5EF16CC"/>
    <w:multiLevelType w:val="hybridMultilevel"/>
    <w:tmpl w:val="800260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CD2976"/>
    <w:multiLevelType w:val="hybridMultilevel"/>
    <w:tmpl w:val="D4B22AE4"/>
    <w:lvl w:ilvl="0" w:tplc="A150E84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61B7A"/>
    <w:multiLevelType w:val="multilevel"/>
    <w:tmpl w:val="AD38C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39481D"/>
    <w:multiLevelType w:val="multilevel"/>
    <w:tmpl w:val="96C20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D86511C"/>
    <w:multiLevelType w:val="hybridMultilevel"/>
    <w:tmpl w:val="BCA8F7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54"/>
    <w:rsid w:val="000166D5"/>
    <w:rsid w:val="000203FB"/>
    <w:rsid w:val="00020E94"/>
    <w:rsid w:val="00024FCE"/>
    <w:rsid w:val="00033B41"/>
    <w:rsid w:val="00036FAD"/>
    <w:rsid w:val="00047A1F"/>
    <w:rsid w:val="00055C16"/>
    <w:rsid w:val="00057F3D"/>
    <w:rsid w:val="00067141"/>
    <w:rsid w:val="000A18F0"/>
    <w:rsid w:val="000C367D"/>
    <w:rsid w:val="000D3394"/>
    <w:rsid w:val="000D7202"/>
    <w:rsid w:val="00117302"/>
    <w:rsid w:val="001328C4"/>
    <w:rsid w:val="001578AD"/>
    <w:rsid w:val="00190B35"/>
    <w:rsid w:val="001A4C05"/>
    <w:rsid w:val="001C1EC3"/>
    <w:rsid w:val="001C281D"/>
    <w:rsid w:val="001E074A"/>
    <w:rsid w:val="001F1875"/>
    <w:rsid w:val="001F7BAF"/>
    <w:rsid w:val="00204AD1"/>
    <w:rsid w:val="002074A1"/>
    <w:rsid w:val="00233CC4"/>
    <w:rsid w:val="00236AAC"/>
    <w:rsid w:val="00244EB5"/>
    <w:rsid w:val="002510F0"/>
    <w:rsid w:val="00255C3E"/>
    <w:rsid w:val="002601B6"/>
    <w:rsid w:val="00272FA2"/>
    <w:rsid w:val="00290761"/>
    <w:rsid w:val="002A618A"/>
    <w:rsid w:val="002A7AFF"/>
    <w:rsid w:val="002B325C"/>
    <w:rsid w:val="002D40DA"/>
    <w:rsid w:val="002D5B6A"/>
    <w:rsid w:val="0030264F"/>
    <w:rsid w:val="00310431"/>
    <w:rsid w:val="0032104F"/>
    <w:rsid w:val="0032248C"/>
    <w:rsid w:val="00327066"/>
    <w:rsid w:val="00341651"/>
    <w:rsid w:val="003526DA"/>
    <w:rsid w:val="003621C2"/>
    <w:rsid w:val="0036424A"/>
    <w:rsid w:val="0036683B"/>
    <w:rsid w:val="00380655"/>
    <w:rsid w:val="00383707"/>
    <w:rsid w:val="00387254"/>
    <w:rsid w:val="003875DC"/>
    <w:rsid w:val="00393E93"/>
    <w:rsid w:val="003A17CC"/>
    <w:rsid w:val="003E498F"/>
    <w:rsid w:val="00417B43"/>
    <w:rsid w:val="00417DCF"/>
    <w:rsid w:val="00424DBE"/>
    <w:rsid w:val="00426108"/>
    <w:rsid w:val="00430FA7"/>
    <w:rsid w:val="00444525"/>
    <w:rsid w:val="00452BB4"/>
    <w:rsid w:val="00465550"/>
    <w:rsid w:val="0046658D"/>
    <w:rsid w:val="004B393B"/>
    <w:rsid w:val="004B6E89"/>
    <w:rsid w:val="004E2616"/>
    <w:rsid w:val="00510DCF"/>
    <w:rsid w:val="00512661"/>
    <w:rsid w:val="00512CB9"/>
    <w:rsid w:val="0052222E"/>
    <w:rsid w:val="00526E68"/>
    <w:rsid w:val="00543581"/>
    <w:rsid w:val="005677CD"/>
    <w:rsid w:val="00574F1A"/>
    <w:rsid w:val="005752B8"/>
    <w:rsid w:val="00575B0A"/>
    <w:rsid w:val="00591502"/>
    <w:rsid w:val="005C3F95"/>
    <w:rsid w:val="005E61DA"/>
    <w:rsid w:val="005F0E38"/>
    <w:rsid w:val="00614901"/>
    <w:rsid w:val="00616E5B"/>
    <w:rsid w:val="00632023"/>
    <w:rsid w:val="006355B7"/>
    <w:rsid w:val="0067041C"/>
    <w:rsid w:val="0067405C"/>
    <w:rsid w:val="00686B8F"/>
    <w:rsid w:val="006A71D1"/>
    <w:rsid w:val="006C282D"/>
    <w:rsid w:val="006C4DCE"/>
    <w:rsid w:val="006E6F79"/>
    <w:rsid w:val="006E7A0D"/>
    <w:rsid w:val="006F4573"/>
    <w:rsid w:val="0070289E"/>
    <w:rsid w:val="00717BC7"/>
    <w:rsid w:val="00732FB3"/>
    <w:rsid w:val="0077787C"/>
    <w:rsid w:val="007831F0"/>
    <w:rsid w:val="00785E49"/>
    <w:rsid w:val="007867A7"/>
    <w:rsid w:val="00790C39"/>
    <w:rsid w:val="007949EA"/>
    <w:rsid w:val="007A0BC8"/>
    <w:rsid w:val="007D1432"/>
    <w:rsid w:val="007D52DE"/>
    <w:rsid w:val="008151FA"/>
    <w:rsid w:val="008233C8"/>
    <w:rsid w:val="00837314"/>
    <w:rsid w:val="00855697"/>
    <w:rsid w:val="00861CD2"/>
    <w:rsid w:val="008A67C8"/>
    <w:rsid w:val="008C1DEC"/>
    <w:rsid w:val="008E0529"/>
    <w:rsid w:val="008E2D04"/>
    <w:rsid w:val="008E597F"/>
    <w:rsid w:val="008F3CD1"/>
    <w:rsid w:val="008F476F"/>
    <w:rsid w:val="008F60D8"/>
    <w:rsid w:val="0090672F"/>
    <w:rsid w:val="009258A9"/>
    <w:rsid w:val="00925B21"/>
    <w:rsid w:val="009328E0"/>
    <w:rsid w:val="009364AF"/>
    <w:rsid w:val="00956521"/>
    <w:rsid w:val="00977754"/>
    <w:rsid w:val="00992B81"/>
    <w:rsid w:val="0099390B"/>
    <w:rsid w:val="009A0BF6"/>
    <w:rsid w:val="009A77CF"/>
    <w:rsid w:val="009B19D5"/>
    <w:rsid w:val="009C4B71"/>
    <w:rsid w:val="009C7AF1"/>
    <w:rsid w:val="009D1318"/>
    <w:rsid w:val="009D67F7"/>
    <w:rsid w:val="009E542C"/>
    <w:rsid w:val="009F0A50"/>
    <w:rsid w:val="00A01149"/>
    <w:rsid w:val="00A23293"/>
    <w:rsid w:val="00A42E1C"/>
    <w:rsid w:val="00A477B8"/>
    <w:rsid w:val="00A52967"/>
    <w:rsid w:val="00A7260E"/>
    <w:rsid w:val="00A80FE1"/>
    <w:rsid w:val="00A83990"/>
    <w:rsid w:val="00AA7B4F"/>
    <w:rsid w:val="00AB2821"/>
    <w:rsid w:val="00AB32B7"/>
    <w:rsid w:val="00AE7D00"/>
    <w:rsid w:val="00AF189C"/>
    <w:rsid w:val="00B22F0F"/>
    <w:rsid w:val="00B42863"/>
    <w:rsid w:val="00B50725"/>
    <w:rsid w:val="00B745FC"/>
    <w:rsid w:val="00B7718B"/>
    <w:rsid w:val="00BA00B6"/>
    <w:rsid w:val="00BA4B62"/>
    <w:rsid w:val="00BA5D32"/>
    <w:rsid w:val="00BD4409"/>
    <w:rsid w:val="00BE492F"/>
    <w:rsid w:val="00BE593C"/>
    <w:rsid w:val="00C014F4"/>
    <w:rsid w:val="00C31B07"/>
    <w:rsid w:val="00C32A61"/>
    <w:rsid w:val="00C33186"/>
    <w:rsid w:val="00C41668"/>
    <w:rsid w:val="00C41974"/>
    <w:rsid w:val="00C438C9"/>
    <w:rsid w:val="00C470E7"/>
    <w:rsid w:val="00C707AA"/>
    <w:rsid w:val="00C75B7B"/>
    <w:rsid w:val="00C91A1E"/>
    <w:rsid w:val="00CD4507"/>
    <w:rsid w:val="00CD621A"/>
    <w:rsid w:val="00CD67C0"/>
    <w:rsid w:val="00CE331D"/>
    <w:rsid w:val="00CE7F09"/>
    <w:rsid w:val="00D47922"/>
    <w:rsid w:val="00D602C0"/>
    <w:rsid w:val="00D72A64"/>
    <w:rsid w:val="00D75BC5"/>
    <w:rsid w:val="00D77A29"/>
    <w:rsid w:val="00D8095A"/>
    <w:rsid w:val="00D8300E"/>
    <w:rsid w:val="00DA6DA6"/>
    <w:rsid w:val="00E1516A"/>
    <w:rsid w:val="00E5723F"/>
    <w:rsid w:val="00E879F2"/>
    <w:rsid w:val="00EA4BDC"/>
    <w:rsid w:val="00EC2DA3"/>
    <w:rsid w:val="00EF327A"/>
    <w:rsid w:val="00F112CF"/>
    <w:rsid w:val="00F51EB0"/>
    <w:rsid w:val="00F5415B"/>
    <w:rsid w:val="00F543C3"/>
    <w:rsid w:val="00F56302"/>
    <w:rsid w:val="00F874AF"/>
    <w:rsid w:val="00F966BE"/>
    <w:rsid w:val="00FB5EBA"/>
    <w:rsid w:val="00FD27B9"/>
    <w:rsid w:val="00FE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BF4FF-EFB3-4DBF-81AA-984FBD8D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3D"/>
    <w:pPr>
      <w:spacing w:before="100" w:beforeAutospacing="1" w:after="100" w:afterAutospacing="1"/>
      <w:jc w:val="both"/>
    </w:pPr>
    <w:rPr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57F3D"/>
    <w:pPr>
      <w:keepNext/>
      <w:keepLines/>
      <w:spacing w:before="480" w:after="0"/>
      <w:jc w:val="center"/>
      <w:outlineLvl w:val="0"/>
    </w:pPr>
    <w:rPr>
      <w:rFonts w:asciiTheme="minorHAnsi" w:eastAsia="Times New Roman" w:hAnsiTheme="minorHAnsi"/>
      <w:b/>
      <w:bCs/>
      <w:color w:val="244061" w:themeColor="accent1" w:themeShade="80"/>
      <w:sz w:val="36"/>
      <w:szCs w:val="36"/>
    </w:rPr>
  </w:style>
  <w:style w:type="paragraph" w:styleId="2">
    <w:name w:val="heading 2"/>
    <w:basedOn w:val="a"/>
    <w:link w:val="20"/>
    <w:uiPriority w:val="9"/>
    <w:qFormat/>
    <w:rsid w:val="00B7718B"/>
    <w:pPr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7754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B77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uiPriority w:val="20"/>
    <w:qFormat/>
    <w:rsid w:val="00B7718B"/>
    <w:rPr>
      <w:i/>
      <w:iCs/>
    </w:rPr>
  </w:style>
  <w:style w:type="paragraph" w:styleId="a5">
    <w:name w:val="Normal (Web)"/>
    <w:basedOn w:val="a"/>
    <w:uiPriority w:val="99"/>
    <w:unhideWhenUsed/>
    <w:rsid w:val="009A77CF"/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link w:val="1"/>
    <w:uiPriority w:val="9"/>
    <w:rsid w:val="00057F3D"/>
    <w:rPr>
      <w:rFonts w:asciiTheme="minorHAnsi" w:eastAsia="Times New Roman" w:hAnsiTheme="minorHAnsi"/>
      <w:b/>
      <w:bCs/>
      <w:color w:val="244061" w:themeColor="accent1" w:themeShade="80"/>
      <w:sz w:val="36"/>
      <w:szCs w:val="36"/>
    </w:rPr>
  </w:style>
  <w:style w:type="character" w:styleId="a6">
    <w:name w:val="Strong"/>
    <w:uiPriority w:val="22"/>
    <w:qFormat/>
    <w:rsid w:val="00BE49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1A1E"/>
    <w:pPr>
      <w:spacing w:before="0"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91A1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6A71D1"/>
    <w:pPr>
      <w:spacing w:before="0" w:beforeAutospacing="0" w:after="0" w:afterAutospacing="0"/>
    </w:pPr>
    <w:rPr>
      <w:sz w:val="20"/>
      <w:szCs w:val="20"/>
      <w:lang w:val="uk-UA"/>
    </w:rPr>
  </w:style>
  <w:style w:type="character" w:customStyle="1" w:styleId="aa">
    <w:name w:val="Текст сноски Знак"/>
    <w:link w:val="a9"/>
    <w:uiPriority w:val="99"/>
    <w:rsid w:val="006A71D1"/>
    <w:rPr>
      <w:lang w:val="uk-UA" w:eastAsia="en-US"/>
    </w:rPr>
  </w:style>
  <w:style w:type="character" w:styleId="ab">
    <w:name w:val="footnote reference"/>
    <w:uiPriority w:val="99"/>
    <w:semiHidden/>
    <w:unhideWhenUsed/>
    <w:rsid w:val="006A71D1"/>
    <w:rPr>
      <w:vertAlign w:val="superscript"/>
    </w:rPr>
  </w:style>
  <w:style w:type="character" w:customStyle="1" w:styleId="5yl5">
    <w:name w:val="_5yl5"/>
    <w:rsid w:val="006A71D1"/>
  </w:style>
  <w:style w:type="character" w:customStyle="1" w:styleId="number">
    <w:name w:val="number"/>
    <w:rsid w:val="00387254"/>
  </w:style>
  <w:style w:type="paragraph" w:customStyle="1" w:styleId="newsheading">
    <w:name w:val="newsheading"/>
    <w:basedOn w:val="a"/>
    <w:rsid w:val="008E0529"/>
    <w:rPr>
      <w:rFonts w:ascii="Times New Roman" w:eastAsia="Times New Roman" w:hAnsi="Times New Roman"/>
      <w:lang w:eastAsia="ru-RU"/>
    </w:rPr>
  </w:style>
  <w:style w:type="character" w:customStyle="1" w:styleId="st">
    <w:name w:val="st"/>
    <w:rsid w:val="008E0529"/>
  </w:style>
  <w:style w:type="paragraph" w:styleId="ac">
    <w:name w:val="header"/>
    <w:basedOn w:val="a"/>
    <w:link w:val="ad"/>
    <w:uiPriority w:val="99"/>
    <w:unhideWhenUsed/>
    <w:rsid w:val="00837314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314"/>
    <w:rPr>
      <w:sz w:val="22"/>
      <w:szCs w:val="22"/>
      <w:lang w:val="ru-RU" w:eastAsia="en-US"/>
    </w:rPr>
  </w:style>
  <w:style w:type="paragraph" w:styleId="ae">
    <w:name w:val="footer"/>
    <w:basedOn w:val="a"/>
    <w:link w:val="af"/>
    <w:uiPriority w:val="99"/>
    <w:unhideWhenUsed/>
    <w:rsid w:val="00837314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314"/>
    <w:rPr>
      <w:sz w:val="22"/>
      <w:szCs w:val="22"/>
      <w:lang w:val="ru-RU" w:eastAsia="en-US"/>
    </w:rPr>
  </w:style>
  <w:style w:type="table" w:styleId="af0">
    <w:name w:val="Table Grid"/>
    <w:basedOn w:val="a1"/>
    <w:uiPriority w:val="59"/>
    <w:rsid w:val="0032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C4B71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2">
    <w:name w:val="List Paragraph"/>
    <w:basedOn w:val="a"/>
    <w:uiPriority w:val="34"/>
    <w:qFormat/>
    <w:rsid w:val="00785E4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3">
    <w:name w:val="TOC Heading"/>
    <w:basedOn w:val="1"/>
    <w:next w:val="a"/>
    <w:uiPriority w:val="39"/>
    <w:semiHidden/>
    <w:unhideWhenUsed/>
    <w:qFormat/>
    <w:rsid w:val="007D52DE"/>
    <w:pPr>
      <w:spacing w:beforeAutospacing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602C0"/>
    <w:pPr>
      <w:tabs>
        <w:tab w:val="right" w:leader="dot" w:pos="9345"/>
      </w:tabs>
      <w:jc w:val="left"/>
    </w:pPr>
    <w:rPr>
      <w:rFonts w:eastAsia="Times New Roman"/>
      <w:bCs/>
      <w:noProof/>
      <w:kern w:val="36"/>
      <w:lang w:eastAsia="ru-RU"/>
    </w:rPr>
  </w:style>
  <w:style w:type="character" w:customStyle="1" w:styleId="12">
    <w:name w:val="Выделение1"/>
    <w:qFormat/>
    <w:rsid w:val="00D8300E"/>
    <w:rPr>
      <w:i/>
      <w:iCs/>
    </w:rPr>
  </w:style>
  <w:style w:type="paragraph" w:styleId="af4">
    <w:name w:val="Body Text"/>
    <w:basedOn w:val="a"/>
    <w:link w:val="af5"/>
    <w:rsid w:val="00D8300E"/>
    <w:pPr>
      <w:spacing w:before="0" w:beforeAutospacing="0" w:after="140" w:afterAutospacing="0" w:line="288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</w:rPr>
  </w:style>
  <w:style w:type="character" w:customStyle="1" w:styleId="af5">
    <w:name w:val="Основной текст Знак"/>
    <w:basedOn w:val="a0"/>
    <w:link w:val="af4"/>
    <w:rsid w:val="00D8300E"/>
    <w:rPr>
      <w:rFonts w:asciiTheme="minorHAnsi" w:eastAsiaTheme="minorHAnsi" w:hAnsiTheme="minorHAnsi" w:cstheme="minorBidi"/>
      <w:color w:val="00000A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vada.ru/2017/06/05/druzya-i-vragi-rossii-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nv.ua/opinion/kermach/kto-komu-vrag-v-rossii-1277828.html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u.krymr.com/a/279439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FA7A-D72A-4CE7-B66A-270152B7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9057</Words>
  <Characters>5163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Links>
    <vt:vector size="6" baseType="variant"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http://ratinggroup.ua/research/ukraine/obschestvenno-politicheskie_nastroeniya_naseleniya_oktyabr_2016.html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Elijah</cp:lastModifiedBy>
  <cp:revision>48</cp:revision>
  <cp:lastPrinted>2017-06-12T07:34:00Z</cp:lastPrinted>
  <dcterms:created xsi:type="dcterms:W3CDTF">2016-12-29T22:36:00Z</dcterms:created>
  <dcterms:modified xsi:type="dcterms:W3CDTF">2017-06-12T07:34:00Z</dcterms:modified>
</cp:coreProperties>
</file>