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29" w:rsidRPr="006E7A0D" w:rsidRDefault="00417B43" w:rsidP="00057F3D">
      <w:pPr>
        <w:rPr>
          <w:lang w:val="uk-UA"/>
        </w:rPr>
      </w:pPr>
      <w:r w:rsidRPr="006E7A0D">
        <w:rPr>
          <w:noProof/>
          <w:lang w:val="uk-UA" w:eastAsia="uk-UA"/>
        </w:rPr>
        <w:drawing>
          <wp:anchor distT="0" distB="0" distL="114300" distR="114300" simplePos="0" relativeHeight="251657216" behindDoc="1" locked="0" layoutInCell="1" allowOverlap="1">
            <wp:simplePos x="0" y="0"/>
            <wp:positionH relativeFrom="column">
              <wp:posOffset>-899795</wp:posOffset>
            </wp:positionH>
            <wp:positionV relativeFrom="paragraph">
              <wp:posOffset>-827083</wp:posOffset>
            </wp:positionV>
            <wp:extent cx="7604442" cy="10755072"/>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_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04442" cy="10755072"/>
                    </a:xfrm>
                    <a:prstGeom prst="rect">
                      <a:avLst/>
                    </a:prstGeom>
                    <a:noFill/>
                    <a:ln w="9525">
                      <a:noFill/>
                      <a:miter lim="800000"/>
                      <a:headEnd/>
                      <a:tailEnd/>
                    </a:ln>
                  </pic:spPr>
                </pic:pic>
              </a:graphicData>
            </a:graphic>
            <wp14:sizeRelH relativeFrom="margin">
              <wp14:pctWidth>0</wp14:pctWidth>
            </wp14:sizeRelH>
          </wp:anchor>
        </w:drawing>
      </w: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7D52DE" w:rsidRDefault="00417B43" w:rsidP="00057F3D">
      <w:pPr>
        <w:rPr>
          <w:lang w:val="uk-UA" w:eastAsia="ru-RU"/>
        </w:rPr>
      </w:pPr>
      <w:r w:rsidRPr="006E7A0D">
        <w:rPr>
          <w:noProof/>
          <w:lang w:val="uk-UA" w:eastAsia="uk-UA"/>
        </w:rPr>
        <w:lastRenderedPageBreak/>
        <w:drawing>
          <wp:inline distT="0" distB="0" distL="0" distR="0">
            <wp:extent cx="2590800" cy="106680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590800" cy="1066800"/>
                    </a:xfrm>
                    <a:prstGeom prst="rect">
                      <a:avLst/>
                    </a:prstGeom>
                    <a:noFill/>
                    <a:ln w="9525">
                      <a:noFill/>
                      <a:miter lim="800000"/>
                      <a:headEnd/>
                      <a:tailEnd/>
                    </a:ln>
                  </pic:spPr>
                </pic:pic>
              </a:graphicData>
            </a:graphic>
          </wp:inline>
        </w:drawing>
      </w:r>
    </w:p>
    <w:p w:rsidR="00033B41" w:rsidRDefault="00033B41" w:rsidP="00057F3D">
      <w:pPr>
        <w:rPr>
          <w:lang w:val="uk-UA" w:eastAsia="ru-RU"/>
        </w:rPr>
      </w:pPr>
    </w:p>
    <w:p w:rsidR="00033B41" w:rsidRDefault="00033B41" w:rsidP="00057F3D">
      <w:pPr>
        <w:rPr>
          <w:lang w:val="uk-UA" w:eastAsia="ru-RU"/>
        </w:rPr>
      </w:pPr>
    </w:p>
    <w:p w:rsidR="00033B41" w:rsidRDefault="00033B41" w:rsidP="00057F3D">
      <w:pPr>
        <w:rPr>
          <w:lang w:val="uk-UA" w:eastAsia="ru-RU"/>
        </w:rPr>
      </w:pPr>
    </w:p>
    <w:p w:rsidR="00033B41" w:rsidRDefault="00033B41" w:rsidP="00057F3D">
      <w:pPr>
        <w:rPr>
          <w:lang w:val="uk-UA" w:eastAsia="ru-RU"/>
        </w:rPr>
      </w:pPr>
    </w:p>
    <w:p w:rsidR="00033B41" w:rsidRDefault="00033B41" w:rsidP="00057F3D">
      <w:pPr>
        <w:rPr>
          <w:lang w:val="uk-UA" w:eastAsia="ru-RU"/>
        </w:rPr>
      </w:pPr>
    </w:p>
    <w:p w:rsidR="00033B41" w:rsidRPr="006E7A0D" w:rsidRDefault="00033B41" w:rsidP="00057F3D">
      <w:pPr>
        <w:rPr>
          <w:lang w:val="uk-UA" w:eastAsia="ru-RU"/>
        </w:rPr>
      </w:pPr>
    </w:p>
    <w:sdt>
      <w:sdtPr>
        <w:rPr>
          <w:rFonts w:ascii="Calibri" w:eastAsia="Calibri" w:hAnsi="Calibri" w:cs="Times New Roman"/>
          <w:b w:val="0"/>
          <w:bCs w:val="0"/>
          <w:color w:val="auto"/>
          <w:sz w:val="24"/>
          <w:szCs w:val="24"/>
          <w:lang w:val="uk-UA"/>
        </w:rPr>
        <w:id w:val="24360013"/>
        <w:docPartObj>
          <w:docPartGallery w:val="Table of Contents"/>
          <w:docPartUnique/>
        </w:docPartObj>
      </w:sdtPr>
      <w:sdtEndPr/>
      <w:sdtContent>
        <w:p w:rsidR="007D52DE" w:rsidRPr="006E7A0D" w:rsidRDefault="007D52DE" w:rsidP="007D52DE">
          <w:pPr>
            <w:pStyle w:val="af3"/>
            <w:jc w:val="center"/>
            <w:rPr>
              <w:lang w:val="uk-UA"/>
            </w:rPr>
          </w:pPr>
          <w:r w:rsidRPr="006E7A0D">
            <w:rPr>
              <w:rFonts w:asciiTheme="minorHAnsi" w:hAnsiTheme="minorHAnsi"/>
              <w:color w:val="244061" w:themeColor="accent1" w:themeShade="80"/>
              <w:sz w:val="36"/>
              <w:szCs w:val="36"/>
              <w:lang w:val="uk-UA"/>
            </w:rPr>
            <w:t>ЗМІСТ</w:t>
          </w:r>
        </w:p>
        <w:p w:rsidR="0012495E" w:rsidRPr="0012495E" w:rsidRDefault="00BD4409">
          <w:pPr>
            <w:pStyle w:val="11"/>
            <w:rPr>
              <w:rFonts w:asciiTheme="minorHAnsi" w:eastAsiaTheme="minorEastAsia" w:hAnsiTheme="minorHAnsi" w:cstheme="minorBidi"/>
              <w:bCs w:val="0"/>
              <w:kern w:val="0"/>
              <w:sz w:val="28"/>
              <w:szCs w:val="28"/>
              <w:lang w:val="uk-UA" w:eastAsia="uk-UA"/>
            </w:rPr>
          </w:pPr>
          <w:r w:rsidRPr="001E074A">
            <w:rPr>
              <w:noProof w:val="0"/>
              <w:sz w:val="28"/>
              <w:szCs w:val="28"/>
              <w:lang w:val="uk-UA"/>
            </w:rPr>
            <w:fldChar w:fldCharType="begin"/>
          </w:r>
          <w:r w:rsidR="007D52DE" w:rsidRPr="001E074A">
            <w:rPr>
              <w:noProof w:val="0"/>
              <w:sz w:val="28"/>
              <w:szCs w:val="28"/>
              <w:lang w:val="uk-UA"/>
            </w:rPr>
            <w:instrText xml:space="preserve"> TOC \o "1-3" \h \z \u </w:instrText>
          </w:r>
          <w:r w:rsidRPr="001E074A">
            <w:rPr>
              <w:noProof w:val="0"/>
              <w:sz w:val="28"/>
              <w:szCs w:val="28"/>
              <w:lang w:val="uk-UA"/>
            </w:rPr>
            <w:fldChar w:fldCharType="separate"/>
          </w:r>
          <w:hyperlink w:anchor="_Toc488009867" w:history="1">
            <w:r w:rsidR="0012495E" w:rsidRPr="0012495E">
              <w:rPr>
                <w:rStyle w:val="a3"/>
                <w:sz w:val="28"/>
                <w:szCs w:val="28"/>
                <w:lang w:val="uk-UA"/>
              </w:rPr>
              <w:t>ДЕПУТАТСЬКИЙ ІМУНІТЕТ ПІД «ПРИЦІЛОМ»: БОРОТЬ</w:t>
            </w:r>
            <w:r w:rsidR="003B2071">
              <w:rPr>
                <w:rStyle w:val="a3"/>
                <w:sz w:val="28"/>
                <w:szCs w:val="28"/>
                <w:lang w:val="uk-UA"/>
              </w:rPr>
              <w:t>БА З КОРУПЦІЄЮ ЧИ ПОЛІТИЧНА ТЕХНОЛОГІЯ</w:t>
            </w:r>
            <w:r w:rsidR="0012495E" w:rsidRPr="0012495E">
              <w:rPr>
                <w:webHidden/>
                <w:sz w:val="28"/>
                <w:szCs w:val="28"/>
              </w:rPr>
              <w:tab/>
            </w:r>
            <w:r w:rsidR="0012495E" w:rsidRPr="0012495E">
              <w:rPr>
                <w:webHidden/>
                <w:sz w:val="28"/>
                <w:szCs w:val="28"/>
              </w:rPr>
              <w:fldChar w:fldCharType="begin"/>
            </w:r>
            <w:r w:rsidR="0012495E" w:rsidRPr="0012495E">
              <w:rPr>
                <w:webHidden/>
                <w:sz w:val="28"/>
                <w:szCs w:val="28"/>
              </w:rPr>
              <w:instrText xml:space="preserve"> PAGEREF _Toc488009867 \h </w:instrText>
            </w:r>
            <w:r w:rsidR="0012495E" w:rsidRPr="0012495E">
              <w:rPr>
                <w:webHidden/>
                <w:sz w:val="28"/>
                <w:szCs w:val="28"/>
              </w:rPr>
            </w:r>
            <w:r w:rsidR="0012495E" w:rsidRPr="0012495E">
              <w:rPr>
                <w:webHidden/>
                <w:sz w:val="28"/>
                <w:szCs w:val="28"/>
              </w:rPr>
              <w:fldChar w:fldCharType="separate"/>
            </w:r>
            <w:r w:rsidR="003B2071">
              <w:rPr>
                <w:webHidden/>
                <w:sz w:val="28"/>
                <w:szCs w:val="28"/>
              </w:rPr>
              <w:t>3</w:t>
            </w:r>
            <w:r w:rsidR="0012495E" w:rsidRPr="0012495E">
              <w:rPr>
                <w:webHidden/>
                <w:sz w:val="28"/>
                <w:szCs w:val="28"/>
              </w:rPr>
              <w:fldChar w:fldCharType="end"/>
            </w:r>
          </w:hyperlink>
        </w:p>
        <w:p w:rsidR="0012495E" w:rsidRPr="0012495E" w:rsidRDefault="00B520FF">
          <w:pPr>
            <w:pStyle w:val="11"/>
            <w:rPr>
              <w:rFonts w:asciiTheme="minorHAnsi" w:eastAsiaTheme="minorEastAsia" w:hAnsiTheme="minorHAnsi" w:cstheme="minorBidi"/>
              <w:bCs w:val="0"/>
              <w:kern w:val="0"/>
              <w:sz w:val="28"/>
              <w:szCs w:val="28"/>
              <w:lang w:val="uk-UA" w:eastAsia="uk-UA"/>
            </w:rPr>
          </w:pPr>
          <w:hyperlink w:anchor="_Toc488009868" w:history="1">
            <w:r w:rsidR="0012495E" w:rsidRPr="0012495E">
              <w:rPr>
                <w:rStyle w:val="a3"/>
                <w:sz w:val="28"/>
                <w:szCs w:val="28"/>
                <w:lang w:val="uk-UA"/>
              </w:rPr>
              <w:t>УКРАЇНА-ЄС: САМІТ БЕЗ ДЕКЛАРАЦІЇ</w:t>
            </w:r>
            <w:r w:rsidR="0012495E" w:rsidRPr="0012495E">
              <w:rPr>
                <w:webHidden/>
                <w:sz w:val="28"/>
                <w:szCs w:val="28"/>
              </w:rPr>
              <w:tab/>
            </w:r>
            <w:r w:rsidR="0012495E" w:rsidRPr="0012495E">
              <w:rPr>
                <w:webHidden/>
                <w:sz w:val="28"/>
                <w:szCs w:val="28"/>
              </w:rPr>
              <w:fldChar w:fldCharType="begin"/>
            </w:r>
            <w:r w:rsidR="0012495E" w:rsidRPr="0012495E">
              <w:rPr>
                <w:webHidden/>
                <w:sz w:val="28"/>
                <w:szCs w:val="28"/>
              </w:rPr>
              <w:instrText xml:space="preserve"> PAGEREF _Toc488009868 \h </w:instrText>
            </w:r>
            <w:r w:rsidR="0012495E" w:rsidRPr="0012495E">
              <w:rPr>
                <w:webHidden/>
                <w:sz w:val="28"/>
                <w:szCs w:val="28"/>
              </w:rPr>
            </w:r>
            <w:r w:rsidR="0012495E" w:rsidRPr="0012495E">
              <w:rPr>
                <w:webHidden/>
                <w:sz w:val="28"/>
                <w:szCs w:val="28"/>
              </w:rPr>
              <w:fldChar w:fldCharType="separate"/>
            </w:r>
            <w:r w:rsidR="003B2071">
              <w:rPr>
                <w:webHidden/>
                <w:sz w:val="28"/>
                <w:szCs w:val="28"/>
              </w:rPr>
              <w:t>5</w:t>
            </w:r>
            <w:r w:rsidR="0012495E" w:rsidRPr="0012495E">
              <w:rPr>
                <w:webHidden/>
                <w:sz w:val="28"/>
                <w:szCs w:val="28"/>
              </w:rPr>
              <w:fldChar w:fldCharType="end"/>
            </w:r>
          </w:hyperlink>
        </w:p>
        <w:p w:rsidR="0012495E" w:rsidRPr="0012495E" w:rsidRDefault="00B520FF">
          <w:pPr>
            <w:pStyle w:val="11"/>
            <w:rPr>
              <w:rFonts w:asciiTheme="minorHAnsi" w:eastAsiaTheme="minorEastAsia" w:hAnsiTheme="minorHAnsi" w:cstheme="minorBidi"/>
              <w:bCs w:val="0"/>
              <w:kern w:val="0"/>
              <w:sz w:val="28"/>
              <w:szCs w:val="28"/>
              <w:lang w:val="uk-UA" w:eastAsia="uk-UA"/>
            </w:rPr>
          </w:pPr>
          <w:hyperlink w:anchor="_Toc488009869" w:history="1">
            <w:r w:rsidR="0012495E" w:rsidRPr="0012495E">
              <w:rPr>
                <w:rStyle w:val="a3"/>
                <w:sz w:val="28"/>
                <w:szCs w:val="28"/>
                <w:lang w:val="uk-UA"/>
              </w:rPr>
              <w:t>НОВИЙ ЗАКОН ПРО КОНСТИТУЦІЙНИЙ СУД КОНСЕРВУЄ ЙОГО ПОЛІТИЧНУ ЗАЛЕЖНІСТЬ</w:t>
            </w:r>
            <w:r w:rsidR="0012495E" w:rsidRPr="0012495E">
              <w:rPr>
                <w:webHidden/>
                <w:sz w:val="28"/>
                <w:szCs w:val="28"/>
              </w:rPr>
              <w:tab/>
            </w:r>
            <w:r w:rsidR="0012495E" w:rsidRPr="0012495E">
              <w:rPr>
                <w:webHidden/>
                <w:sz w:val="28"/>
                <w:szCs w:val="28"/>
              </w:rPr>
              <w:fldChar w:fldCharType="begin"/>
            </w:r>
            <w:r w:rsidR="0012495E" w:rsidRPr="0012495E">
              <w:rPr>
                <w:webHidden/>
                <w:sz w:val="28"/>
                <w:szCs w:val="28"/>
              </w:rPr>
              <w:instrText xml:space="preserve"> PAGEREF _Toc488009869 \h </w:instrText>
            </w:r>
            <w:r w:rsidR="0012495E" w:rsidRPr="0012495E">
              <w:rPr>
                <w:webHidden/>
                <w:sz w:val="28"/>
                <w:szCs w:val="28"/>
              </w:rPr>
            </w:r>
            <w:r w:rsidR="0012495E" w:rsidRPr="0012495E">
              <w:rPr>
                <w:webHidden/>
                <w:sz w:val="28"/>
                <w:szCs w:val="28"/>
              </w:rPr>
              <w:fldChar w:fldCharType="separate"/>
            </w:r>
            <w:r w:rsidR="003B2071">
              <w:rPr>
                <w:webHidden/>
                <w:sz w:val="28"/>
                <w:szCs w:val="28"/>
              </w:rPr>
              <w:t>7</w:t>
            </w:r>
            <w:r w:rsidR="0012495E" w:rsidRPr="0012495E">
              <w:rPr>
                <w:webHidden/>
                <w:sz w:val="28"/>
                <w:szCs w:val="28"/>
              </w:rPr>
              <w:fldChar w:fldCharType="end"/>
            </w:r>
          </w:hyperlink>
        </w:p>
        <w:p w:rsidR="007D52DE" w:rsidRPr="006E7A0D" w:rsidRDefault="00BD4409" w:rsidP="00F966BE">
          <w:pPr>
            <w:spacing w:line="276" w:lineRule="auto"/>
            <w:rPr>
              <w:lang w:val="uk-UA"/>
            </w:rPr>
          </w:pPr>
          <w:r w:rsidRPr="001E074A">
            <w:rPr>
              <w:sz w:val="28"/>
              <w:szCs w:val="28"/>
              <w:lang w:val="uk-UA"/>
            </w:rPr>
            <w:fldChar w:fldCharType="end"/>
          </w:r>
        </w:p>
      </w:sdtContent>
    </w:sdt>
    <w:p w:rsidR="006A71D1" w:rsidRPr="006E7A0D" w:rsidRDefault="006A71D1" w:rsidP="00057F3D">
      <w:pPr>
        <w:rPr>
          <w:lang w:val="uk-UA" w:eastAsia="ru-RU"/>
        </w:rPr>
      </w:pPr>
    </w:p>
    <w:p w:rsidR="007D52DE" w:rsidRPr="006E7A0D" w:rsidRDefault="007D52DE" w:rsidP="00057F3D">
      <w:pPr>
        <w:rPr>
          <w:lang w:val="uk-UA" w:eastAsia="ru-RU"/>
        </w:rPr>
      </w:pPr>
    </w:p>
    <w:p w:rsidR="007D52DE" w:rsidRPr="006E7A0D" w:rsidRDefault="007D52DE"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17DCF" w:rsidRPr="00FB7582" w:rsidRDefault="00FB7582" w:rsidP="00417DCF">
      <w:pPr>
        <w:pStyle w:val="1"/>
        <w:rPr>
          <w:lang w:val="uk-UA"/>
        </w:rPr>
      </w:pPr>
      <w:bookmarkStart w:id="0" w:name="_Toc488009867"/>
      <w:bookmarkStart w:id="1" w:name="_GoBack"/>
      <w:r w:rsidRPr="00FB7582">
        <w:rPr>
          <w:lang w:val="uk-UA"/>
        </w:rPr>
        <w:lastRenderedPageBreak/>
        <w:t xml:space="preserve">ДЕПУТАТСЬКИЙ ІМУНІТЕТ ПІД «ПРИЦІЛОМ»: БОРОТЬБА З КОРУПЦІЄЮ ЧИ </w:t>
      </w:r>
      <w:r w:rsidR="005058BF">
        <w:rPr>
          <w:lang w:val="uk-UA"/>
        </w:rPr>
        <w:t>ПОЛІТИЧНА ТЕХНОЛОГІЯ?</w:t>
      </w:r>
      <w:bookmarkEnd w:id="0"/>
    </w:p>
    <w:bookmarkEnd w:id="1"/>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417DCF" w:rsidRPr="00417DCF" w:rsidTr="00EC5B9E">
        <w:tc>
          <w:tcPr>
            <w:tcW w:w="4266" w:type="dxa"/>
            <w:tcBorders>
              <w:left w:val="nil"/>
              <w:right w:val="single" w:sz="18" w:space="0" w:color="244061" w:themeColor="accent1" w:themeShade="80"/>
            </w:tcBorders>
          </w:tcPr>
          <w:p w:rsidR="00417DCF" w:rsidRDefault="00417DCF" w:rsidP="00EC5B9E">
            <w:pPr>
              <w:rPr>
                <w:noProof/>
                <w:lang w:val="uk-UA" w:eastAsia="uk-UA"/>
              </w:rPr>
            </w:pPr>
          </w:p>
          <w:p w:rsidR="00417DCF" w:rsidRPr="006E7A0D" w:rsidRDefault="00417DCF" w:rsidP="00EC5B9E">
            <w:pPr>
              <w:rPr>
                <w:lang w:val="uk-UA"/>
              </w:rPr>
            </w:pPr>
            <w:r w:rsidRPr="006E7A0D">
              <w:rPr>
                <w:noProof/>
                <w:lang w:val="uk-UA" w:eastAsia="uk-UA"/>
              </w:rPr>
              <w:drawing>
                <wp:inline distT="0" distB="0" distL="0" distR="0" wp14:anchorId="27F8F94D" wp14:editId="1580C93B">
                  <wp:extent cx="1899920" cy="1899920"/>
                  <wp:effectExtent l="0" t="0" r="81280" b="81280"/>
                  <wp:docPr id="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99920" cy="189992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417DCF" w:rsidRPr="006E7A0D" w:rsidRDefault="00417DCF" w:rsidP="00EC5B9E">
            <w:pPr>
              <w:rPr>
                <w:lang w:val="uk-UA"/>
              </w:rPr>
            </w:pPr>
            <w:r w:rsidRPr="006E7A0D">
              <w:rPr>
                <w:lang w:val="uk-UA"/>
              </w:rPr>
              <w:t xml:space="preserve"> </w:t>
            </w:r>
            <w:r w:rsidR="00FB7582">
              <w:rPr>
                <w:lang w:val="uk-UA"/>
              </w:rPr>
              <w:t>Андрій</w:t>
            </w:r>
            <w:r w:rsidRPr="006E7A0D">
              <w:rPr>
                <w:lang w:val="uk-UA"/>
              </w:rPr>
              <w:t xml:space="preserve"> </w:t>
            </w:r>
            <w:r w:rsidR="00FB7582">
              <w:rPr>
                <w:b/>
                <w:lang w:val="uk-UA"/>
              </w:rPr>
              <w:t>Сухарина</w:t>
            </w:r>
          </w:p>
          <w:p w:rsidR="00417DCF" w:rsidRPr="006E7A0D" w:rsidRDefault="00417DCF" w:rsidP="00EC5B9E">
            <w:pPr>
              <w:rPr>
                <w:sz w:val="28"/>
                <w:szCs w:val="28"/>
                <w:lang w:val="uk-UA"/>
              </w:rPr>
            </w:pPr>
            <w:r w:rsidRPr="006E7A0D">
              <w:rPr>
                <w:sz w:val="20"/>
                <w:szCs w:val="20"/>
                <w:lang w:val="uk-UA"/>
              </w:rPr>
              <w:t xml:space="preserve">Політичний аналітик фонду «Демократичні ініціативи» ім. Ілька </w:t>
            </w:r>
            <w:proofErr w:type="spellStart"/>
            <w:r w:rsidRPr="006E7A0D">
              <w:rPr>
                <w:sz w:val="20"/>
                <w:szCs w:val="20"/>
                <w:lang w:val="uk-UA"/>
              </w:rPr>
              <w:t>Кучеріва</w:t>
            </w:r>
            <w:proofErr w:type="spellEnd"/>
          </w:p>
        </w:tc>
        <w:tc>
          <w:tcPr>
            <w:tcW w:w="5305" w:type="dxa"/>
            <w:tcBorders>
              <w:left w:val="single" w:sz="18" w:space="0" w:color="244061" w:themeColor="accent1" w:themeShade="80"/>
            </w:tcBorders>
            <w:shd w:val="clear" w:color="auto" w:fill="auto"/>
          </w:tcPr>
          <w:p w:rsidR="005F06DD" w:rsidRDefault="005F06DD" w:rsidP="00417DCF">
            <w:pPr>
              <w:spacing w:after="240"/>
              <w:ind w:left="16"/>
              <w:rPr>
                <w:b/>
                <w:lang w:val="uk-UA"/>
              </w:rPr>
            </w:pPr>
          </w:p>
          <w:p w:rsidR="00FB7582" w:rsidRDefault="00FB7582" w:rsidP="00417DCF">
            <w:pPr>
              <w:spacing w:after="240"/>
              <w:ind w:left="16"/>
              <w:rPr>
                <w:b/>
                <w:lang w:val="uk-UA"/>
              </w:rPr>
            </w:pPr>
          </w:p>
          <w:p w:rsidR="00417DCF" w:rsidRPr="006E7A0D" w:rsidRDefault="00FB7582" w:rsidP="00417DCF">
            <w:pPr>
              <w:spacing w:after="240"/>
              <w:ind w:left="16"/>
              <w:rPr>
                <w:rFonts w:asciiTheme="minorHAnsi" w:eastAsia="Times New Roman" w:hAnsiTheme="minorHAnsi"/>
                <w:lang w:val="uk-UA" w:eastAsia="ru-RU"/>
              </w:rPr>
            </w:pPr>
            <w:r w:rsidRPr="00FB7582">
              <w:rPr>
                <w:b/>
                <w:lang w:val="uk-UA"/>
              </w:rPr>
              <w:t xml:space="preserve">Минулого тижня у вівторок 11 липня та у четвер 13 липня Верховна Рада розглядала подання Генеральної прокуратури України на зняття недоторканості з 6 народних депутатів  із 5 різних фракцій та парламентських груп. В поле зору розслідувань НАБУ, САП та ГПУ потрапили Борислав </w:t>
            </w:r>
            <w:proofErr w:type="spellStart"/>
            <w:r w:rsidRPr="00FB7582">
              <w:rPr>
                <w:b/>
                <w:lang w:val="uk-UA"/>
              </w:rPr>
              <w:t>Розенблат</w:t>
            </w:r>
            <w:proofErr w:type="spellEnd"/>
            <w:r w:rsidRPr="00FB7582">
              <w:rPr>
                <w:b/>
                <w:lang w:val="uk-UA"/>
              </w:rPr>
              <w:t xml:space="preserve">, Максим </w:t>
            </w:r>
            <w:proofErr w:type="spellStart"/>
            <w:r w:rsidRPr="00FB7582">
              <w:rPr>
                <w:b/>
                <w:lang w:val="uk-UA"/>
              </w:rPr>
              <w:t>Поляков</w:t>
            </w:r>
            <w:proofErr w:type="spellEnd"/>
            <w:r w:rsidRPr="00FB7582">
              <w:rPr>
                <w:b/>
                <w:lang w:val="uk-UA"/>
              </w:rPr>
              <w:t xml:space="preserve">, Євген </w:t>
            </w:r>
            <w:proofErr w:type="spellStart"/>
            <w:r w:rsidRPr="00FB7582">
              <w:rPr>
                <w:b/>
                <w:lang w:val="uk-UA"/>
              </w:rPr>
              <w:t>Дейдей</w:t>
            </w:r>
            <w:proofErr w:type="spellEnd"/>
            <w:r w:rsidRPr="00FB7582">
              <w:rPr>
                <w:b/>
                <w:lang w:val="uk-UA"/>
              </w:rPr>
              <w:t xml:space="preserve">, Андрій </w:t>
            </w:r>
            <w:proofErr w:type="spellStart"/>
            <w:r w:rsidRPr="00FB7582">
              <w:rPr>
                <w:b/>
                <w:lang w:val="uk-UA"/>
              </w:rPr>
              <w:t>Лозовой</w:t>
            </w:r>
            <w:proofErr w:type="spellEnd"/>
            <w:r w:rsidRPr="00FB7582">
              <w:rPr>
                <w:b/>
                <w:lang w:val="uk-UA"/>
              </w:rPr>
              <w:t xml:space="preserve">, Олесь Довгий та Михайло </w:t>
            </w:r>
            <w:proofErr w:type="spellStart"/>
            <w:r w:rsidRPr="00FB7582">
              <w:rPr>
                <w:b/>
                <w:lang w:val="uk-UA"/>
              </w:rPr>
              <w:t>Добкін</w:t>
            </w:r>
            <w:proofErr w:type="spellEnd"/>
            <w:r w:rsidRPr="00FB7582">
              <w:rPr>
                <w:b/>
                <w:lang w:val="uk-UA"/>
              </w:rPr>
              <w:t>.</w:t>
            </w:r>
          </w:p>
        </w:tc>
      </w:tr>
    </w:tbl>
    <w:p w:rsidR="00FB7582" w:rsidRPr="00FB7582" w:rsidRDefault="00FB7582" w:rsidP="00FB7582">
      <w:pPr>
        <w:rPr>
          <w:lang w:val="uk-UA"/>
        </w:rPr>
      </w:pPr>
      <w:r w:rsidRPr="00FB7582">
        <w:rPr>
          <w:lang w:val="uk-UA"/>
        </w:rPr>
        <w:t>Ці події привернули увагу як політичних експертів, так і широких верств громадськості перш за все своїми масштабами, а також загальним рівнем політичної дискусії, яка не стихала впродовж тижня. Розгляд цих подань також ще раз продемонстрував неоднорідність парламентської коаліції, а також інших політичних сил в парламенті й наявність у них різних неформальних груп. І якщо поки рано говорити про перспективи розслідувань і тим паче судових розглядів, то про зростання напруженості в парламенті та прояв загалом прихованих принципів кругової поруки серед представників істеблішменту стверджувати можна.</w:t>
      </w:r>
    </w:p>
    <w:p w:rsidR="00FB7582" w:rsidRPr="00FB7582" w:rsidRDefault="00FB7582" w:rsidP="00FB7582">
      <w:pPr>
        <w:rPr>
          <w:lang w:val="uk-UA"/>
        </w:rPr>
      </w:pPr>
      <w:r w:rsidRPr="00FB7582">
        <w:rPr>
          <w:lang w:val="uk-UA"/>
        </w:rPr>
        <w:t xml:space="preserve">На відміну від попередніх справ НАБУ та ГПУ проти нардепів цього разу менше говорять  про політичні переслідування, адже 3 з 6 депутатів, на яких були внесені подання, представляють чинну коаліцію у Верховній Раді. Більше того, пропрезидентська політична сила принаймні публічно відсторонилась від свого представника </w:t>
      </w:r>
      <w:proofErr w:type="spellStart"/>
      <w:r w:rsidRPr="00FB7582">
        <w:rPr>
          <w:lang w:val="uk-UA"/>
        </w:rPr>
        <w:t>Розенблата</w:t>
      </w:r>
      <w:proofErr w:type="spellEnd"/>
      <w:r w:rsidRPr="00FB7582">
        <w:rPr>
          <w:lang w:val="uk-UA"/>
        </w:rPr>
        <w:t xml:space="preserve"> та виключила його з фракції. Однак ситуація з іншими депутатами, </w:t>
      </w:r>
      <w:proofErr w:type="spellStart"/>
      <w:r w:rsidRPr="00FB7582">
        <w:rPr>
          <w:lang w:val="uk-UA"/>
        </w:rPr>
        <w:t>шо</w:t>
      </w:r>
      <w:proofErr w:type="spellEnd"/>
      <w:r w:rsidRPr="00FB7582">
        <w:rPr>
          <w:lang w:val="uk-UA"/>
        </w:rPr>
        <w:t xml:space="preserve"> перебувають під слідством, дещо різниться. Представники «</w:t>
      </w:r>
      <w:proofErr w:type="spellStart"/>
      <w:r w:rsidRPr="00FB7582">
        <w:rPr>
          <w:lang w:val="uk-UA"/>
        </w:rPr>
        <w:t>Опоблоку</w:t>
      </w:r>
      <w:proofErr w:type="spellEnd"/>
      <w:r w:rsidRPr="00FB7582">
        <w:rPr>
          <w:lang w:val="uk-UA"/>
        </w:rPr>
        <w:t>», «Радикальної партії», «Волі народу» та меншою мірою «Народного Фронту» продемонстрували, що вони всіма силами намагатимуться «захищати» своїх.</w:t>
      </w:r>
    </w:p>
    <w:p w:rsidR="00FB7582" w:rsidRPr="00FB7582" w:rsidRDefault="00FB7582" w:rsidP="00FB7582">
      <w:pPr>
        <w:rPr>
          <w:lang w:val="uk-UA"/>
        </w:rPr>
      </w:pPr>
      <w:r w:rsidRPr="00FB7582">
        <w:rPr>
          <w:lang w:val="uk-UA"/>
        </w:rPr>
        <w:t xml:space="preserve">Найбільш резонансна справа стосується депутата від БПП Борислава </w:t>
      </w:r>
      <w:proofErr w:type="spellStart"/>
      <w:r w:rsidRPr="00FB7582">
        <w:rPr>
          <w:lang w:val="uk-UA"/>
        </w:rPr>
        <w:t>Розенблата</w:t>
      </w:r>
      <w:proofErr w:type="spellEnd"/>
      <w:r w:rsidRPr="00FB7582">
        <w:rPr>
          <w:lang w:val="uk-UA"/>
        </w:rPr>
        <w:t xml:space="preserve">, якого звинувачують в отриманні майже 300 тисяч доларів хабара, якого він вимагав та одержав від представниці (а насправді – </w:t>
      </w:r>
      <w:proofErr w:type="spellStart"/>
      <w:r w:rsidRPr="00FB7582">
        <w:rPr>
          <w:lang w:val="uk-UA"/>
        </w:rPr>
        <w:t>спецагентки</w:t>
      </w:r>
      <w:proofErr w:type="spellEnd"/>
      <w:r w:rsidRPr="00FB7582">
        <w:rPr>
          <w:lang w:val="uk-UA"/>
        </w:rPr>
        <w:t xml:space="preserve"> НАБУ під прикриттям) </w:t>
      </w:r>
      <w:proofErr w:type="spellStart"/>
      <w:r w:rsidRPr="00FB7582">
        <w:rPr>
          <w:lang w:val="uk-UA"/>
        </w:rPr>
        <w:t>еміратської</w:t>
      </w:r>
      <w:proofErr w:type="spellEnd"/>
      <w:r w:rsidRPr="00FB7582">
        <w:rPr>
          <w:lang w:val="uk-UA"/>
        </w:rPr>
        <w:t xml:space="preserve"> фірми за «сприяння» у видобутку бурштину. Щоб підсилити ефект від вчиненого, депутатам на регламентному комітеті навіть показували «кіно» про те, як </w:t>
      </w:r>
      <w:proofErr w:type="spellStart"/>
      <w:r w:rsidRPr="00FB7582">
        <w:rPr>
          <w:lang w:val="uk-UA"/>
        </w:rPr>
        <w:t>Розенблат</w:t>
      </w:r>
      <w:proofErr w:type="spellEnd"/>
      <w:r w:rsidRPr="00FB7582">
        <w:rPr>
          <w:lang w:val="uk-UA"/>
        </w:rPr>
        <w:t xml:space="preserve"> правив за цей хабар і </w:t>
      </w:r>
      <w:r w:rsidRPr="00FB7582">
        <w:rPr>
          <w:lang w:val="uk-UA"/>
        </w:rPr>
        <w:lastRenderedPageBreak/>
        <w:t>дістав його частину</w:t>
      </w:r>
      <w:r>
        <w:rPr>
          <w:rStyle w:val="ab"/>
          <w:lang w:val="uk-UA"/>
        </w:rPr>
        <w:footnoteReference w:id="1"/>
      </w:r>
      <w:r w:rsidRPr="00FB7582">
        <w:rPr>
          <w:lang w:val="uk-UA"/>
        </w:rPr>
        <w:t>. Документування та фіксування кримінальної справи справді було здійснено на високому рівні, тому на ці факти народні депутати не змогли заплющити очі. До того ж журналісти  на базі оприлюднених НАБУ фактів  с</w:t>
      </w:r>
      <w:r>
        <w:rPr>
          <w:lang w:val="uk-UA"/>
        </w:rPr>
        <w:t>клали навіть «ресторанну карту»</w:t>
      </w:r>
      <w:r>
        <w:rPr>
          <w:rStyle w:val="ab"/>
          <w:lang w:val="uk-UA"/>
        </w:rPr>
        <w:footnoteReference w:id="2"/>
      </w:r>
      <w:r w:rsidRPr="00FB7582">
        <w:rPr>
          <w:lang w:val="uk-UA"/>
        </w:rPr>
        <w:t xml:space="preserve"> закладів, де відбувались ключові події розслідування.</w:t>
      </w:r>
    </w:p>
    <w:p w:rsidR="00FB7582" w:rsidRPr="00FB7582" w:rsidRDefault="00FB7582" w:rsidP="00FB7582">
      <w:pPr>
        <w:rPr>
          <w:lang w:val="uk-UA"/>
        </w:rPr>
      </w:pPr>
      <w:r w:rsidRPr="00FB7582">
        <w:rPr>
          <w:lang w:val="uk-UA"/>
        </w:rPr>
        <w:t xml:space="preserve">Однак серед усіх шести подань тільки стосовно Михайла </w:t>
      </w:r>
      <w:proofErr w:type="spellStart"/>
      <w:r w:rsidRPr="00FB7582">
        <w:rPr>
          <w:lang w:val="uk-UA"/>
        </w:rPr>
        <w:t>Добкіна</w:t>
      </w:r>
      <w:proofErr w:type="spellEnd"/>
      <w:r w:rsidRPr="00FB7582">
        <w:rPr>
          <w:lang w:val="uk-UA"/>
        </w:rPr>
        <w:t xml:space="preserve"> парламентарі спромоглись проголосувати не тільки за зняття недоторканості, але і </w:t>
      </w:r>
      <w:r>
        <w:rPr>
          <w:lang w:val="uk-UA"/>
        </w:rPr>
        <w:t>за можливість подальшого арешту</w:t>
      </w:r>
      <w:r>
        <w:rPr>
          <w:rStyle w:val="ab"/>
          <w:lang w:val="uk-UA"/>
        </w:rPr>
        <w:footnoteReference w:id="3"/>
      </w:r>
      <w:r w:rsidRPr="00FB7582">
        <w:rPr>
          <w:lang w:val="uk-UA"/>
        </w:rPr>
        <w:t xml:space="preserve">. А стосовно Євгена </w:t>
      </w:r>
      <w:proofErr w:type="spellStart"/>
      <w:r w:rsidRPr="00FB7582">
        <w:rPr>
          <w:lang w:val="uk-UA"/>
        </w:rPr>
        <w:t>Дейдея</w:t>
      </w:r>
      <w:proofErr w:type="spellEnd"/>
      <w:r w:rsidRPr="00FB7582">
        <w:rPr>
          <w:lang w:val="uk-UA"/>
        </w:rPr>
        <w:t xml:space="preserve"> та Андрія Лозового вони наразі уникли продовження слідчих дій, оскільки парламент не дав на це згоди.</w:t>
      </w:r>
    </w:p>
    <w:p w:rsidR="00FB7582" w:rsidRPr="00FB7582" w:rsidRDefault="00FB7582" w:rsidP="00FB7582">
      <w:pPr>
        <w:rPr>
          <w:lang w:val="uk-UA"/>
        </w:rPr>
      </w:pPr>
      <w:r w:rsidRPr="00FB7582">
        <w:rPr>
          <w:lang w:val="uk-UA"/>
        </w:rPr>
        <w:t>Варто також розглянути два аспекти, обговорення яких актуалізувалось внаслідок  цих подань на зняття недоторканості:</w:t>
      </w:r>
    </w:p>
    <w:p w:rsidR="00FB7582" w:rsidRPr="00FB7582" w:rsidRDefault="00FB7582" w:rsidP="00FB7582">
      <w:pPr>
        <w:rPr>
          <w:i/>
          <w:lang w:val="uk-UA"/>
        </w:rPr>
      </w:pPr>
      <w:r w:rsidRPr="00FB7582">
        <w:rPr>
          <w:i/>
          <w:lang w:val="uk-UA"/>
        </w:rPr>
        <w:t>Перший – стосується загалом питання депутатського імунітету.</w:t>
      </w:r>
    </w:p>
    <w:p w:rsidR="00FB7582" w:rsidRPr="00FB7582" w:rsidRDefault="00FB7582" w:rsidP="00FB7582">
      <w:pPr>
        <w:rPr>
          <w:lang w:val="uk-UA"/>
        </w:rPr>
      </w:pPr>
      <w:r w:rsidRPr="00FB7582">
        <w:rPr>
          <w:lang w:val="uk-UA"/>
        </w:rPr>
        <w:t xml:space="preserve">Скасування депутатської недоторканості одна з топ-обіцянок великої кількості політичних сил,  які так і не були виконані. </w:t>
      </w:r>
    </w:p>
    <w:p w:rsidR="00FB7582" w:rsidRPr="00FB7582" w:rsidRDefault="00FB7582" w:rsidP="00FB7582">
      <w:pPr>
        <w:rPr>
          <w:lang w:val="uk-UA"/>
        </w:rPr>
      </w:pPr>
      <w:r w:rsidRPr="00FB7582">
        <w:rPr>
          <w:lang w:val="uk-UA"/>
        </w:rPr>
        <w:t>На сьогодні українські парламентарі мають абсолютну недоторканність: без згоди Ради їх не можна притягнути до відповідальності як за дії, вчинені в рамках виконання обов’язків та повноважень народного депутата (що є нормальною практикою), так і за дії, вчинені поза парламентською діяльністю і які не мають до неї прямого стосунку (що не відповідає загальнопоширеним демократичним нормам).</w:t>
      </w:r>
    </w:p>
    <w:p w:rsidR="00FB7582" w:rsidRPr="00FB7582" w:rsidRDefault="00FB7582" w:rsidP="00FB7582">
      <w:pPr>
        <w:rPr>
          <w:lang w:val="uk-UA"/>
        </w:rPr>
      </w:pPr>
      <w:r w:rsidRPr="00FB7582">
        <w:rPr>
          <w:lang w:val="uk-UA"/>
        </w:rPr>
        <w:t>Сьогодні видається доречним якщо й не скасування, то принаймні  певне обмеження депутатської недоторканості. Водночас малоймовірно, що народні депутати підуть на такий крок. А що робота НАБУ дедалі  активізується, а  справи ГПУ набирають певної періодичності,  то шансів на те, що парламентарі захочуть позбавляти себе та колег додаткового захисту від кримінального переслідування, стає ще менше. Саме тому в найближчій перспективі очікувати на обмеження депутатського імунітету мабуть не варто.</w:t>
      </w:r>
    </w:p>
    <w:p w:rsidR="00FB7582" w:rsidRPr="0012495E" w:rsidRDefault="00FB7582" w:rsidP="00FB7582">
      <w:pPr>
        <w:rPr>
          <w:i/>
          <w:lang w:val="uk-UA"/>
        </w:rPr>
      </w:pPr>
      <w:r w:rsidRPr="0012495E">
        <w:rPr>
          <w:i/>
          <w:lang w:val="uk-UA"/>
        </w:rPr>
        <w:t>Другий  аспект зачіпає  ефективність  подальшої роботи Ради.</w:t>
      </w:r>
    </w:p>
    <w:p w:rsidR="00FB7582" w:rsidRPr="00FB7582" w:rsidRDefault="00FB7582" w:rsidP="00FB7582">
      <w:pPr>
        <w:rPr>
          <w:lang w:val="uk-UA"/>
        </w:rPr>
      </w:pPr>
      <w:r w:rsidRPr="00FB7582">
        <w:rPr>
          <w:lang w:val="uk-UA"/>
        </w:rPr>
        <w:t>Постають сумніви щодо  готовності далі працювати та домовлятися з коаліцією про голосування «потрібних» законопроектів передовсім таких політичних груп, як «Воля народу» та «</w:t>
      </w:r>
      <w:proofErr w:type="spellStart"/>
      <w:r w:rsidRPr="00FB7582">
        <w:rPr>
          <w:lang w:val="uk-UA"/>
        </w:rPr>
        <w:t>Опоблок</w:t>
      </w:r>
      <w:proofErr w:type="spellEnd"/>
      <w:r w:rsidRPr="00FB7582">
        <w:rPr>
          <w:lang w:val="uk-UA"/>
        </w:rPr>
        <w:t xml:space="preserve">». Є підстави стверджувати, що вони навряд чи співпрацюватимуть з пропрезидентськими силами після того, як були внесені та проголосовані подання на зняття недоторканості з Довгого та </w:t>
      </w:r>
      <w:proofErr w:type="spellStart"/>
      <w:r w:rsidRPr="00FB7582">
        <w:rPr>
          <w:lang w:val="uk-UA"/>
        </w:rPr>
        <w:t>Добкіна</w:t>
      </w:r>
      <w:proofErr w:type="spellEnd"/>
      <w:r w:rsidRPr="00FB7582">
        <w:rPr>
          <w:lang w:val="uk-UA"/>
        </w:rPr>
        <w:t>.</w:t>
      </w:r>
    </w:p>
    <w:p w:rsidR="00FB7582" w:rsidRPr="00FB7582" w:rsidRDefault="00FB7582" w:rsidP="00FB7582">
      <w:pPr>
        <w:rPr>
          <w:lang w:val="uk-UA"/>
        </w:rPr>
      </w:pPr>
      <w:r w:rsidRPr="00FB7582">
        <w:rPr>
          <w:lang w:val="uk-UA"/>
        </w:rPr>
        <w:lastRenderedPageBreak/>
        <w:t>Таке напруження у Верховній Раді та активізація роботи антикорупційних органів можуть мати далекосяжні наслідки. Цілком можливо, що вже восени, коли Верховна Рада повернеться до роботи, можливість відшукувати компроміси задля підтримки ініціатив Президента чи уряду буде вельми звужена. Звісно, не можна виключати й іншого варіанту, коли Генеральна прокуратура виступить політичним актором і чинитиме тиск на інших членів законодавчого органу для політичних цілей влади.</w:t>
      </w:r>
    </w:p>
    <w:p w:rsidR="003E3E0E" w:rsidRDefault="00FB7582" w:rsidP="00033B41">
      <w:pPr>
        <w:rPr>
          <w:lang w:val="uk-UA"/>
        </w:rPr>
      </w:pPr>
      <w:r w:rsidRPr="00FB7582">
        <w:rPr>
          <w:lang w:val="uk-UA"/>
        </w:rPr>
        <w:t>Водночас ці розслідування можуть стати шансом покращити електоральні шанси Президента Порошенка руками близького до нього Генерального прокурора. У суспільстві, де існує потужний запит на суспільну справедливість та боротьбу з корупцією у вищих ешелонах влади, активна робота ГПУ сприйматиметься скоріше позитивно. Однак будь-які дії не матимуть жодного кардинального ефекту без логічного завершення судових розглядів, з чим у Генеральної прокуратури наразі є  проблеми.</w:t>
      </w:r>
    </w:p>
    <w:p w:rsidR="003E3E0E" w:rsidRPr="006E7A0D" w:rsidRDefault="0012495E" w:rsidP="003E3E0E">
      <w:pPr>
        <w:pStyle w:val="1"/>
        <w:rPr>
          <w:lang w:val="uk-UA"/>
        </w:rPr>
      </w:pPr>
      <w:bookmarkStart w:id="2" w:name="_Toc488009868"/>
      <w:r w:rsidRPr="0012495E">
        <w:rPr>
          <w:lang w:val="uk-UA"/>
        </w:rPr>
        <w:t>УКРАЇНА-ЄС: САМІТ БЕЗ ДЕКЛАРАЦІЇ</w:t>
      </w:r>
      <w:bookmarkEnd w:id="2"/>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3E3E0E" w:rsidRPr="003B2071" w:rsidTr="00A6273B">
        <w:tc>
          <w:tcPr>
            <w:tcW w:w="4077" w:type="dxa"/>
            <w:tcBorders>
              <w:left w:val="nil"/>
              <w:right w:val="single" w:sz="18" w:space="0" w:color="244061" w:themeColor="accent1" w:themeShade="80"/>
            </w:tcBorders>
          </w:tcPr>
          <w:p w:rsidR="003E3E0E" w:rsidRPr="006E7A0D" w:rsidRDefault="003E3E0E" w:rsidP="00A6273B">
            <w:pPr>
              <w:rPr>
                <w:lang w:val="uk-UA"/>
              </w:rPr>
            </w:pPr>
            <w:r>
              <w:rPr>
                <w:noProof/>
                <w:lang w:val="uk-UA" w:eastAsia="uk-UA"/>
              </w:rPr>
              <w:drawing>
                <wp:inline distT="0" distB="0" distL="0" distR="0" wp14:anchorId="08B49023" wp14:editId="120A4EEE">
                  <wp:extent cx="2092778" cy="2092778"/>
                  <wp:effectExtent l="19050" t="0" r="78922" b="59872"/>
                  <wp:docPr id="3" name="Рисунок 67" descr="photo_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2" cstate="print"/>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3E3E0E" w:rsidRPr="00327066" w:rsidRDefault="003E3E0E" w:rsidP="00A6273B">
            <w:pPr>
              <w:rPr>
                <w:b/>
              </w:rPr>
            </w:pPr>
            <w:proofErr w:type="spellStart"/>
            <w:r>
              <w:t>Олексій</w:t>
            </w:r>
            <w:proofErr w:type="spellEnd"/>
            <w:r w:rsidRPr="00327066">
              <w:t xml:space="preserve"> </w:t>
            </w:r>
            <w:proofErr w:type="spellStart"/>
            <w:r>
              <w:rPr>
                <w:b/>
              </w:rPr>
              <w:t>Гарань</w:t>
            </w:r>
            <w:proofErr w:type="spellEnd"/>
          </w:p>
          <w:p w:rsidR="003E3E0E" w:rsidRPr="006E7A0D" w:rsidRDefault="003E3E0E" w:rsidP="00A6273B">
            <w:pPr>
              <w:rPr>
                <w:sz w:val="20"/>
                <w:szCs w:val="20"/>
                <w:lang w:val="uk-UA"/>
              </w:rPr>
            </w:pPr>
            <w:proofErr w:type="spellStart"/>
            <w:r w:rsidRPr="00057F3D">
              <w:rPr>
                <w:sz w:val="20"/>
                <w:szCs w:val="20"/>
              </w:rPr>
              <w:t>Професор</w:t>
            </w:r>
            <w:proofErr w:type="spellEnd"/>
            <w:r w:rsidRPr="00057F3D">
              <w:rPr>
                <w:sz w:val="20"/>
                <w:szCs w:val="20"/>
              </w:rPr>
              <w:t xml:space="preserve"> </w:t>
            </w:r>
            <w:proofErr w:type="spellStart"/>
            <w:r w:rsidRPr="00057F3D">
              <w:rPr>
                <w:sz w:val="20"/>
                <w:szCs w:val="20"/>
              </w:rPr>
              <w:t>політології</w:t>
            </w:r>
            <w:proofErr w:type="spellEnd"/>
            <w:r w:rsidRPr="00057F3D">
              <w:rPr>
                <w:sz w:val="20"/>
                <w:szCs w:val="20"/>
              </w:rPr>
              <w:t xml:space="preserve"> </w:t>
            </w:r>
            <w:proofErr w:type="spellStart"/>
            <w:r w:rsidRPr="00057F3D">
              <w:rPr>
                <w:sz w:val="20"/>
                <w:szCs w:val="20"/>
              </w:rPr>
              <w:t>НаУКМА</w:t>
            </w:r>
            <w:proofErr w:type="spellEnd"/>
            <w:r w:rsidRPr="00057F3D">
              <w:rPr>
                <w:sz w:val="20"/>
                <w:szCs w:val="20"/>
              </w:rPr>
              <w:t xml:space="preserve">, </w:t>
            </w:r>
            <w:proofErr w:type="spellStart"/>
            <w:r w:rsidRPr="00057F3D">
              <w:rPr>
                <w:sz w:val="20"/>
                <w:szCs w:val="20"/>
              </w:rPr>
              <w:t>науковий</w:t>
            </w:r>
            <w:proofErr w:type="spellEnd"/>
            <w:r w:rsidRPr="00057F3D">
              <w:rPr>
                <w:sz w:val="20"/>
                <w:szCs w:val="20"/>
              </w:rPr>
              <w:t xml:space="preserve"> директор фонду «</w:t>
            </w:r>
            <w:proofErr w:type="spellStart"/>
            <w:r w:rsidRPr="00057F3D">
              <w:rPr>
                <w:sz w:val="20"/>
                <w:szCs w:val="20"/>
              </w:rPr>
              <w:t>Демократичні</w:t>
            </w:r>
            <w:proofErr w:type="spellEnd"/>
            <w:r w:rsidRPr="00057F3D">
              <w:rPr>
                <w:sz w:val="20"/>
                <w:szCs w:val="20"/>
              </w:rPr>
              <w:t xml:space="preserve"> </w:t>
            </w:r>
            <w:proofErr w:type="spellStart"/>
            <w:r w:rsidRPr="00057F3D">
              <w:rPr>
                <w:sz w:val="20"/>
                <w:szCs w:val="20"/>
              </w:rPr>
              <w:t>ініціативи</w:t>
            </w:r>
            <w:proofErr w:type="spellEnd"/>
            <w:r w:rsidRPr="00057F3D">
              <w:rPr>
                <w:sz w:val="20"/>
                <w:szCs w:val="20"/>
              </w:rPr>
              <w:t xml:space="preserve">» </w:t>
            </w:r>
            <w:proofErr w:type="spellStart"/>
            <w:r w:rsidRPr="00057F3D">
              <w:rPr>
                <w:sz w:val="20"/>
                <w:szCs w:val="20"/>
              </w:rPr>
              <w:t>ім</w:t>
            </w:r>
            <w:proofErr w:type="spellEnd"/>
            <w:r w:rsidRPr="00057F3D">
              <w:rPr>
                <w:sz w:val="20"/>
                <w:szCs w:val="20"/>
              </w:rPr>
              <w:t xml:space="preserve">. </w:t>
            </w:r>
            <w:proofErr w:type="spellStart"/>
            <w:r w:rsidRPr="00057F3D">
              <w:rPr>
                <w:sz w:val="20"/>
                <w:szCs w:val="20"/>
              </w:rPr>
              <w:t>Ілька</w:t>
            </w:r>
            <w:proofErr w:type="spellEnd"/>
            <w:r w:rsidRPr="00057F3D">
              <w:rPr>
                <w:sz w:val="20"/>
                <w:szCs w:val="20"/>
              </w:rPr>
              <w:t xml:space="preserve"> </w:t>
            </w:r>
            <w:proofErr w:type="spellStart"/>
            <w:r w:rsidRPr="00057F3D">
              <w:rPr>
                <w:sz w:val="20"/>
                <w:szCs w:val="20"/>
              </w:rPr>
              <w:t>Кучеріва</w:t>
            </w:r>
            <w:proofErr w:type="spellEnd"/>
          </w:p>
        </w:tc>
        <w:tc>
          <w:tcPr>
            <w:tcW w:w="5494" w:type="dxa"/>
            <w:tcBorders>
              <w:left w:val="single" w:sz="18" w:space="0" w:color="244061" w:themeColor="accent1" w:themeShade="80"/>
            </w:tcBorders>
          </w:tcPr>
          <w:p w:rsidR="003E3E0E" w:rsidRDefault="003E3E0E" w:rsidP="00A6273B">
            <w:pPr>
              <w:ind w:left="708"/>
              <w:rPr>
                <w:b/>
                <w:lang w:val="uk-UA"/>
              </w:rPr>
            </w:pPr>
          </w:p>
          <w:p w:rsidR="003E3E0E" w:rsidRDefault="003E3E0E" w:rsidP="00A6273B">
            <w:pPr>
              <w:ind w:left="708"/>
              <w:rPr>
                <w:b/>
                <w:lang w:val="uk-UA"/>
              </w:rPr>
            </w:pPr>
          </w:p>
          <w:p w:rsidR="003E3E0E" w:rsidRPr="006E7A0D" w:rsidRDefault="0012495E" w:rsidP="003E3E0E">
            <w:pPr>
              <w:ind w:left="63"/>
              <w:rPr>
                <w:rFonts w:asciiTheme="minorHAnsi" w:hAnsiTheme="minorHAnsi"/>
                <w:b/>
                <w:highlight w:val="yellow"/>
                <w:lang w:val="uk-UA"/>
              </w:rPr>
            </w:pPr>
            <w:r w:rsidRPr="0012495E">
              <w:rPr>
                <w:b/>
                <w:lang w:val="uk-UA"/>
              </w:rPr>
              <w:t xml:space="preserve">ХІХ щорічний саміт </w:t>
            </w:r>
            <w:proofErr w:type="spellStart"/>
            <w:r w:rsidRPr="0012495E">
              <w:rPr>
                <w:b/>
                <w:lang w:val="uk-UA"/>
              </w:rPr>
              <w:t>Україна-ЄС</w:t>
            </w:r>
            <w:proofErr w:type="spellEnd"/>
            <w:r w:rsidRPr="0012495E">
              <w:rPr>
                <w:b/>
                <w:lang w:val="uk-UA"/>
              </w:rPr>
              <w:t>, що відбувся у Києві 12-13 липня, не завершився ухваленням традиційної для цієї події декларації. Але ми не повинні драматизувати цього факту. Спільна декларація не прийнята з однієї причини: Київ наполягав, щоб у декларації була повторена фраза з Угоди про асоціацію — про підтримку «європейських прагнень» України.</w:t>
            </w:r>
          </w:p>
        </w:tc>
      </w:tr>
    </w:tbl>
    <w:p w:rsidR="0012495E" w:rsidRPr="0012495E" w:rsidRDefault="0012495E" w:rsidP="0012495E">
      <w:pPr>
        <w:rPr>
          <w:lang w:val="uk-UA"/>
        </w:rPr>
      </w:pPr>
      <w:r w:rsidRPr="0012495E">
        <w:rPr>
          <w:lang w:val="uk-UA"/>
        </w:rPr>
        <w:t xml:space="preserve">Саме ж значення саміту полягає в тому, що він відкрив новий етап співробітництва між нашою країною та ЄС. Адже повністю і остаточно ратифікована Угода про асоціацію, тобто вона починає діяти не тільки де-факто, а відтепер повністю юридично закріплена. Це означає, що ми отримали «дорожню карту» наших перетворень, які будемо здійснювати спільно з ЄС. Почав діяти безвізовий режим для короткотермінових поїздок українців до ЄС. Все це дійсно переводить наші стосунки з ЄС на новий етап. </w:t>
      </w:r>
    </w:p>
    <w:p w:rsidR="0012495E" w:rsidRPr="0012495E" w:rsidRDefault="0012495E" w:rsidP="0012495E">
      <w:pPr>
        <w:rPr>
          <w:lang w:val="uk-UA"/>
        </w:rPr>
      </w:pPr>
      <w:r w:rsidRPr="0012495E">
        <w:rPr>
          <w:lang w:val="uk-UA"/>
        </w:rPr>
        <w:t xml:space="preserve">За тими закритими повідомленнями, які лунали, у ході саміту передбачалося підписання дуже розгорнутої декларації — на сім сторінок, де імплементація всіх цих питань мала бути детально прописана, відповідно до положень, закладених в Угоді про асоціацію. </w:t>
      </w:r>
    </w:p>
    <w:p w:rsidR="0012495E" w:rsidRPr="0012495E" w:rsidRDefault="0012495E" w:rsidP="0012495E">
      <w:pPr>
        <w:rPr>
          <w:lang w:val="uk-UA"/>
        </w:rPr>
      </w:pPr>
      <w:r w:rsidRPr="0012495E">
        <w:rPr>
          <w:lang w:val="uk-UA"/>
        </w:rPr>
        <w:lastRenderedPageBreak/>
        <w:t xml:space="preserve">Чому ж декларація не підписана, і чому до неї не увійшло положення про підтримку європейських прагнень України? На мою думку, це більше пов’язано з внутрішньополітичними міркуваннями. Відомо, що це була позиція Нідерландів — не повторювати це формулювання. Ми пам’ятаємо, що у Нідерландах раніше відбувся консультативний референдум, який ускладнив нам процес остаточної ратифікації Угоди про асоціацію (зараз вже відомо і про російське втручання в підготовку референдуму, про що ми здогадувалися і раніше). Але ми вийшли з цієї ситуації за допомогою ЄС, голландців та української дипломатії. </w:t>
      </w:r>
    </w:p>
    <w:p w:rsidR="0012495E" w:rsidRPr="0012495E" w:rsidRDefault="0012495E" w:rsidP="0012495E">
      <w:pPr>
        <w:rPr>
          <w:lang w:val="uk-UA"/>
        </w:rPr>
      </w:pPr>
      <w:r w:rsidRPr="0012495E">
        <w:rPr>
          <w:lang w:val="uk-UA"/>
        </w:rPr>
        <w:t>Тим не менше, у Нідерландів залишилося застереження — вони не хочуть обіцяти Україні перспективу членства в ЄС. Зрештою, позицію Нідерландів підтримали, за закритими повідомленнями, Німеччина і Франція. Але все це, скоріше, апеляція до виборців цих країн і до тієї частини суспільства цих країн, які побоюються розширення Європейського Союзу.</w:t>
      </w:r>
    </w:p>
    <w:p w:rsidR="0012495E" w:rsidRPr="0012495E" w:rsidRDefault="0012495E" w:rsidP="0012495E">
      <w:pPr>
        <w:rPr>
          <w:lang w:val="uk-UA"/>
        </w:rPr>
      </w:pPr>
      <w:r w:rsidRPr="0012495E">
        <w:rPr>
          <w:lang w:val="uk-UA"/>
        </w:rPr>
        <w:t xml:space="preserve">Але ж «європейські прагнення» України не означають, що Україна автоматично просувається до членства в ЄС. Це просто фіксація нинішнього етапу. </w:t>
      </w:r>
    </w:p>
    <w:p w:rsidR="0012495E" w:rsidRPr="0012495E" w:rsidRDefault="0012495E" w:rsidP="0012495E">
      <w:pPr>
        <w:rPr>
          <w:lang w:val="uk-UA"/>
        </w:rPr>
      </w:pPr>
      <w:r w:rsidRPr="0012495E">
        <w:rPr>
          <w:lang w:val="uk-UA"/>
        </w:rPr>
        <w:t xml:space="preserve">Так, у ЄС, як і у нас самих, є претензії до української влади. Скажімо, щодо того, чому уповільнюється боротьба з корупцією. Ці претензії є, вони обговорюються і лунають на вищому рівні. І, я вважаю, що це непогано, що ЄС тисне на нас, аби Україна здійснювала необхідні зміни. </w:t>
      </w:r>
    </w:p>
    <w:p w:rsidR="0012495E" w:rsidRPr="0012495E" w:rsidRDefault="0012495E" w:rsidP="0012495E">
      <w:pPr>
        <w:rPr>
          <w:lang w:val="uk-UA"/>
        </w:rPr>
      </w:pPr>
      <w:r w:rsidRPr="0012495E">
        <w:rPr>
          <w:lang w:val="uk-UA"/>
        </w:rPr>
        <w:t xml:space="preserve">Але українська сторона в даній ситуації була поставлена перед дилемою — або підписати велику декларацію за підсумками саміту без цієї фрази, або не підписувати нічого. Зваживши «за» і «проти», Україна вирішила, що для неї вкрай принципово записати це положення. І якщо європейці, а точніше — три країни, не хочуть цього робити, нехай вони подумають над тим, чому саме. Таким чином, Київ, певною мірою, загострив ситуацію, поставив питання руба, сказавши ЄС: «Європейський </w:t>
      </w:r>
      <w:proofErr w:type="spellStart"/>
      <w:r w:rsidRPr="0012495E">
        <w:rPr>
          <w:lang w:val="uk-UA"/>
        </w:rPr>
        <w:t>Союзе</w:t>
      </w:r>
      <w:proofErr w:type="spellEnd"/>
      <w:r w:rsidRPr="0012495E">
        <w:rPr>
          <w:lang w:val="uk-UA"/>
        </w:rPr>
        <w:t xml:space="preserve">, а де ж ваша принциповість? Якщо це записано в Угоді про асоціацію, чому ви боїтеся це повторити?». </w:t>
      </w:r>
    </w:p>
    <w:p w:rsidR="0012495E" w:rsidRPr="0012495E" w:rsidRDefault="0012495E" w:rsidP="0012495E">
      <w:pPr>
        <w:rPr>
          <w:lang w:val="uk-UA"/>
        </w:rPr>
      </w:pPr>
      <w:r w:rsidRPr="0012495E">
        <w:rPr>
          <w:lang w:val="uk-UA"/>
        </w:rPr>
        <w:t xml:space="preserve">Так ми показали європейцям, що не будемо підписувати все, тільки виходячи з міркувань ЄС. У нас є своя власна внутрішньополітична консолідована позиція, у нас є підтримка суспільства, зрештою, українці помирали і помирають на фронті за європейську ідею. Тому ми перекинули м’яч на поле ЄС і сказали: «Європейський </w:t>
      </w:r>
      <w:proofErr w:type="spellStart"/>
      <w:r w:rsidRPr="0012495E">
        <w:rPr>
          <w:lang w:val="uk-UA"/>
        </w:rPr>
        <w:t>Союзе</w:t>
      </w:r>
      <w:proofErr w:type="spellEnd"/>
      <w:r w:rsidRPr="0012495E">
        <w:rPr>
          <w:lang w:val="uk-UA"/>
        </w:rPr>
        <w:t>, думайте про ваші цінності. Адже ваша позиція має бути принциповою і послідовною».</w:t>
      </w:r>
    </w:p>
    <w:p w:rsidR="0012495E" w:rsidRDefault="0012495E" w:rsidP="0012495E">
      <w:pPr>
        <w:rPr>
          <w:lang w:val="uk-UA"/>
        </w:rPr>
      </w:pPr>
      <w:r w:rsidRPr="0012495E">
        <w:rPr>
          <w:lang w:val="uk-UA"/>
        </w:rPr>
        <w:t>Наголошую, що в плані імплементації Угоди про асоціацію це не змінює нічого. Ми будемо продовжувати рухатися далі, ми будемо і далі отримувати допомогу від ЄС, ми будемо виконувати наше «домашнє завдання», бо це, насамперед, у наших інтересах.</w:t>
      </w:r>
    </w:p>
    <w:p w:rsidR="003E3E0E" w:rsidRDefault="003E3E0E" w:rsidP="0012495E">
      <w:pPr>
        <w:rPr>
          <w:lang w:val="uk-UA"/>
        </w:rPr>
      </w:pPr>
      <w:r w:rsidRPr="003E3E0E">
        <w:rPr>
          <w:lang w:val="uk-UA"/>
        </w:rPr>
        <w:t xml:space="preserve">Оригінал: </w:t>
      </w:r>
      <w:hyperlink r:id="rId13" w:history="1">
        <w:r w:rsidR="0012495E">
          <w:rPr>
            <w:rStyle w:val="a3"/>
            <w:lang w:val="uk-UA"/>
          </w:rPr>
          <w:t>УНІАН</w:t>
        </w:r>
      </w:hyperlink>
    </w:p>
    <w:p w:rsidR="0012495E" w:rsidRPr="006E7A0D" w:rsidRDefault="0012495E" w:rsidP="0012495E">
      <w:pPr>
        <w:pStyle w:val="1"/>
        <w:rPr>
          <w:lang w:val="uk-UA"/>
        </w:rPr>
      </w:pPr>
      <w:bookmarkStart w:id="3" w:name="_Toc488009869"/>
      <w:r w:rsidRPr="0012495E">
        <w:rPr>
          <w:lang w:val="uk-UA"/>
        </w:rPr>
        <w:lastRenderedPageBreak/>
        <w:t>НОВИЙ ЗАКОН ПРО КОНСТИТУЦІЙНИЙ СУД КОНСЕРВУЄ ЙОГО ПОЛІТИЧНУ ЗАЛЕЖНІСТЬ</w:t>
      </w:r>
      <w:bookmarkEnd w:id="3"/>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12495E" w:rsidRPr="002074A1" w:rsidTr="000B3723">
        <w:tc>
          <w:tcPr>
            <w:tcW w:w="4077" w:type="dxa"/>
            <w:tcBorders>
              <w:left w:val="nil"/>
              <w:right w:val="single" w:sz="18" w:space="0" w:color="244061" w:themeColor="accent1" w:themeShade="80"/>
            </w:tcBorders>
          </w:tcPr>
          <w:p w:rsidR="0012495E" w:rsidRPr="006E7A0D" w:rsidRDefault="0012495E" w:rsidP="000B3723">
            <w:pPr>
              <w:rPr>
                <w:lang w:val="uk-UA"/>
              </w:rPr>
            </w:pPr>
            <w:r>
              <w:rPr>
                <w:noProof/>
                <w:lang w:val="uk-UA" w:eastAsia="uk-UA"/>
              </w:rPr>
              <w:drawing>
                <wp:inline distT="0" distB="0" distL="0" distR="0" wp14:anchorId="3082CD7D" wp14:editId="251203C3">
                  <wp:extent cx="2092395" cy="2092395"/>
                  <wp:effectExtent l="0" t="0" r="79375" b="79375"/>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12495E" w:rsidRPr="00B50725" w:rsidRDefault="0012495E" w:rsidP="000B3723">
            <w:pPr>
              <w:rPr>
                <w:b/>
                <w:lang w:val="uk-UA"/>
              </w:rPr>
            </w:pPr>
            <w:proofErr w:type="spellStart"/>
            <w:r>
              <w:t>Олексій</w:t>
            </w:r>
            <w:proofErr w:type="spellEnd"/>
            <w:r w:rsidRPr="00327066">
              <w:t xml:space="preserve"> </w:t>
            </w:r>
            <w:r>
              <w:rPr>
                <w:b/>
                <w:lang w:val="uk-UA"/>
              </w:rPr>
              <w:t>Сидорчук</w:t>
            </w:r>
          </w:p>
          <w:p w:rsidR="0012495E" w:rsidRPr="006E7A0D" w:rsidRDefault="0012495E" w:rsidP="000B3723">
            <w:pPr>
              <w:rPr>
                <w:sz w:val="20"/>
                <w:szCs w:val="20"/>
                <w:lang w:val="uk-UA"/>
              </w:rPr>
            </w:pPr>
            <w:r>
              <w:rPr>
                <w:sz w:val="20"/>
                <w:szCs w:val="20"/>
                <w:lang w:val="uk-UA"/>
              </w:rPr>
              <w:t>Політичний аналітик</w:t>
            </w:r>
            <w:r w:rsidRPr="00057F3D">
              <w:rPr>
                <w:sz w:val="20"/>
                <w:szCs w:val="20"/>
              </w:rPr>
              <w:t xml:space="preserve"> фонду «</w:t>
            </w:r>
            <w:proofErr w:type="spellStart"/>
            <w:r w:rsidRPr="00057F3D">
              <w:rPr>
                <w:sz w:val="20"/>
                <w:szCs w:val="20"/>
              </w:rPr>
              <w:t>Демократичні</w:t>
            </w:r>
            <w:proofErr w:type="spellEnd"/>
            <w:r w:rsidRPr="00057F3D">
              <w:rPr>
                <w:sz w:val="20"/>
                <w:szCs w:val="20"/>
              </w:rPr>
              <w:t xml:space="preserve"> </w:t>
            </w:r>
            <w:proofErr w:type="spellStart"/>
            <w:r w:rsidRPr="00057F3D">
              <w:rPr>
                <w:sz w:val="20"/>
                <w:szCs w:val="20"/>
              </w:rPr>
              <w:t>ініціативи</w:t>
            </w:r>
            <w:proofErr w:type="spellEnd"/>
            <w:r w:rsidRPr="00057F3D">
              <w:rPr>
                <w:sz w:val="20"/>
                <w:szCs w:val="20"/>
              </w:rPr>
              <w:t xml:space="preserve">» </w:t>
            </w:r>
            <w:proofErr w:type="spellStart"/>
            <w:r w:rsidRPr="00057F3D">
              <w:rPr>
                <w:sz w:val="20"/>
                <w:szCs w:val="20"/>
              </w:rPr>
              <w:t>ім</w:t>
            </w:r>
            <w:proofErr w:type="spellEnd"/>
            <w:r w:rsidRPr="00057F3D">
              <w:rPr>
                <w:sz w:val="20"/>
                <w:szCs w:val="20"/>
              </w:rPr>
              <w:t xml:space="preserve">. </w:t>
            </w:r>
            <w:proofErr w:type="spellStart"/>
            <w:r w:rsidRPr="00057F3D">
              <w:rPr>
                <w:sz w:val="20"/>
                <w:szCs w:val="20"/>
              </w:rPr>
              <w:t>Ілька</w:t>
            </w:r>
            <w:proofErr w:type="spellEnd"/>
            <w:r w:rsidRPr="00057F3D">
              <w:rPr>
                <w:sz w:val="20"/>
                <w:szCs w:val="20"/>
              </w:rPr>
              <w:t xml:space="preserve"> </w:t>
            </w:r>
            <w:proofErr w:type="spellStart"/>
            <w:r w:rsidRPr="00057F3D">
              <w:rPr>
                <w:sz w:val="20"/>
                <w:szCs w:val="20"/>
              </w:rPr>
              <w:t>Кучеріва</w:t>
            </w:r>
            <w:proofErr w:type="spellEnd"/>
          </w:p>
        </w:tc>
        <w:tc>
          <w:tcPr>
            <w:tcW w:w="5494" w:type="dxa"/>
            <w:tcBorders>
              <w:left w:val="single" w:sz="18" w:space="0" w:color="244061" w:themeColor="accent1" w:themeShade="80"/>
            </w:tcBorders>
          </w:tcPr>
          <w:p w:rsidR="0012495E" w:rsidRDefault="0012495E" w:rsidP="000B3723">
            <w:pPr>
              <w:rPr>
                <w:b/>
                <w:lang w:val="uk-UA"/>
              </w:rPr>
            </w:pPr>
          </w:p>
          <w:p w:rsidR="0012495E" w:rsidRDefault="0012495E" w:rsidP="000B3723">
            <w:pPr>
              <w:rPr>
                <w:b/>
                <w:lang w:val="uk-UA"/>
              </w:rPr>
            </w:pPr>
          </w:p>
          <w:p w:rsidR="0012495E" w:rsidRPr="006E7A0D" w:rsidRDefault="0012495E" w:rsidP="000B3723">
            <w:pPr>
              <w:rPr>
                <w:rFonts w:asciiTheme="minorHAnsi" w:hAnsiTheme="minorHAnsi"/>
                <w:b/>
                <w:highlight w:val="yellow"/>
                <w:lang w:val="uk-UA"/>
              </w:rPr>
            </w:pPr>
            <w:r w:rsidRPr="0012495E">
              <w:rPr>
                <w:b/>
                <w:lang w:val="uk-UA"/>
              </w:rPr>
              <w:t>13 липня Верховна Рада ухвалила закон «Про Конституційний Суд України», що вперше врегулював діяльність цього органу окремим законодавчим актом. Він був покликаний привести функціонування Конституційного Суду (КСУ) у відповідність до нової редакції Конституції, що набула чинності ще 30 вересня минулого року.</w:t>
            </w:r>
          </w:p>
        </w:tc>
      </w:tr>
    </w:tbl>
    <w:p w:rsidR="0012495E" w:rsidRPr="0012495E" w:rsidRDefault="0012495E" w:rsidP="0012495E">
      <w:pPr>
        <w:rPr>
          <w:lang w:val="uk-UA"/>
        </w:rPr>
      </w:pPr>
      <w:r w:rsidRPr="0012495E">
        <w:rPr>
          <w:lang w:val="uk-UA"/>
        </w:rPr>
        <w:t>Необхідність ухвалити закон про КСУ не викликала сумнівів ні в політичному, ні в експертному середовищах. З одного боку, попри те, що після Революції Гідності нинішній склад КСУ втратив значну частку своєї легітимності, його оновлення не було завершено, зокрема через неврегульовану процедуру добору суддів. З іншого боку, навіть після 2014 р. КСУ лишився політично залежним від суб’єктів його призначення, передусім від Президента Петра Порошенка. У результаті протягом останніх років КСУ не був здатен ефективно виконувати свої функції. Яскравим свідченням цього став той факт, що КСУ не ухвалив жодного рішення з початку 2017 р.</w:t>
      </w:r>
    </w:p>
    <w:p w:rsidR="0012495E" w:rsidRPr="0012495E" w:rsidRDefault="0012495E" w:rsidP="0012495E">
      <w:pPr>
        <w:rPr>
          <w:lang w:val="uk-UA"/>
        </w:rPr>
      </w:pPr>
      <w:r w:rsidRPr="0012495E">
        <w:rPr>
          <w:lang w:val="uk-UA"/>
        </w:rPr>
        <w:t>Найгостріша проблема, що потребувала законодавчого врегулювання, стосувалась гарантій незалежності суддів КСУ. Ухвалені в 2016 р. зміни до Конституції зробили крок уперед, визначивши, що суддів відбиратимуть на конкурсних засадах у порядку, визначеному законом. Однак норми нового закону не створюють належних умов для більшої незалежності суддів.</w:t>
      </w:r>
    </w:p>
    <w:p w:rsidR="0012495E" w:rsidRPr="0012495E" w:rsidRDefault="0012495E" w:rsidP="0012495E">
      <w:pPr>
        <w:rPr>
          <w:lang w:val="uk-UA"/>
        </w:rPr>
      </w:pPr>
      <w:r w:rsidRPr="0012495E">
        <w:rPr>
          <w:lang w:val="uk-UA"/>
        </w:rPr>
        <w:t>По-перше, закон дозволяє трьом органам, що призначають по шість суддів КСУ – Президентові, Верховній Раді та З’їзду суддів – формувати конкурсні комісії на власний розсуд. Таким чином, комісії, скоріше за все, будуть повністю залежними від політичних органів, що їх утворять, і тому обиратимуть політично лояльних суддів. По-друге, закон зовсім не врегульовує процедуру відбору кандидатів на посади суддів КСУ, що, знову ж таки, дозволяє президенту і парламенту керувати діяльністю конкурсних комісій і впливати на відбір кандидатур.</w:t>
      </w:r>
    </w:p>
    <w:p w:rsidR="003E3E0E" w:rsidRDefault="0012495E" w:rsidP="0012495E">
      <w:pPr>
        <w:rPr>
          <w:lang w:val="uk-UA"/>
        </w:rPr>
      </w:pPr>
      <w:r w:rsidRPr="0012495E">
        <w:rPr>
          <w:lang w:val="uk-UA"/>
        </w:rPr>
        <w:t xml:space="preserve">Проблемним залишається і процедура звільнення суддів КСУ. Нова редакції Конституції передбачила, що їх можна звільнити лише рішенням КСУ, і запровадила нову підставу для </w:t>
      </w:r>
      <w:r w:rsidRPr="0012495E">
        <w:rPr>
          <w:lang w:val="uk-UA"/>
        </w:rPr>
        <w:lastRenderedPageBreak/>
        <w:t>цього – грубе чи систематичне нехтування своїми обов’язками. Закон повторює це формулювання, однак не пояснює, що конкретно можна вважати такою підставою. Зважаючи на небезпеку того, що більшість нових суддів КСУ залишаться політично залежними від президента чи парламенту, ті з них, які демонструватимуть свою самостійність, опиняться під загрозою бути звільненими саме з такого невизначеного мотиву. У підсумку новий закон залишає діючих і майбутніх суддів КСУ украй вразливими до політичного тиску.</w:t>
      </w:r>
    </w:p>
    <w:p w:rsidR="0012495E" w:rsidRDefault="0012495E" w:rsidP="0012495E">
      <w:pPr>
        <w:rPr>
          <w:lang w:val="uk-UA"/>
        </w:rPr>
      </w:pPr>
    </w:p>
    <w:p w:rsidR="0012495E" w:rsidRDefault="0012495E" w:rsidP="0012495E">
      <w:pPr>
        <w:rPr>
          <w:lang w:val="uk-UA"/>
        </w:rPr>
      </w:pPr>
    </w:p>
    <w:p w:rsidR="0012495E" w:rsidRDefault="0012495E" w:rsidP="0012495E">
      <w:pPr>
        <w:rPr>
          <w:lang w:val="uk-UA"/>
        </w:rPr>
      </w:pPr>
    </w:p>
    <w:p w:rsidR="0012495E" w:rsidRDefault="0012495E" w:rsidP="0012495E">
      <w:pPr>
        <w:rPr>
          <w:lang w:val="uk-UA"/>
        </w:rPr>
      </w:pPr>
    </w:p>
    <w:p w:rsidR="0012495E" w:rsidRDefault="0012495E" w:rsidP="0012495E">
      <w:pPr>
        <w:rPr>
          <w:lang w:val="uk-UA"/>
        </w:rPr>
      </w:pPr>
    </w:p>
    <w:p w:rsidR="0012495E" w:rsidRDefault="0012495E" w:rsidP="0012495E">
      <w:pPr>
        <w:rPr>
          <w:lang w:val="uk-UA"/>
        </w:rPr>
      </w:pPr>
    </w:p>
    <w:p w:rsidR="0012495E" w:rsidRDefault="0012495E" w:rsidP="0012495E">
      <w:pPr>
        <w:rPr>
          <w:lang w:val="uk-UA"/>
        </w:rPr>
      </w:pPr>
    </w:p>
    <w:p w:rsidR="0012495E" w:rsidRDefault="0012495E" w:rsidP="0012495E">
      <w:pPr>
        <w:rPr>
          <w:lang w:val="uk-UA"/>
        </w:rPr>
      </w:pPr>
    </w:p>
    <w:p w:rsidR="0012495E" w:rsidRDefault="0012495E" w:rsidP="0012495E">
      <w:pPr>
        <w:rPr>
          <w:lang w:val="uk-UA"/>
        </w:rPr>
      </w:pPr>
    </w:p>
    <w:p w:rsidR="0012495E" w:rsidRPr="005F06DD" w:rsidRDefault="0012495E" w:rsidP="0012495E">
      <w:pPr>
        <w:rPr>
          <w:rStyle w:val="a3"/>
          <w:color w:val="auto"/>
          <w:u w:val="none"/>
          <w:lang w:val="uk-UA"/>
        </w:rPr>
      </w:pPr>
    </w:p>
    <w:p w:rsidR="00D75BC5" w:rsidRPr="004A15A5" w:rsidRDefault="00D75BC5" w:rsidP="00033B41">
      <w:pPr>
        <w:rPr>
          <w:b/>
          <w:lang w:val="uk-UA"/>
        </w:rPr>
      </w:pPr>
    </w:p>
    <w:p w:rsidR="007D52DE" w:rsidRPr="006E7A0D" w:rsidRDefault="00033B41" w:rsidP="00033B41">
      <w:pPr>
        <w:pBdr>
          <w:top w:val="single" w:sz="4" w:space="1" w:color="auto"/>
          <w:bottom w:val="single" w:sz="4" w:space="1" w:color="auto"/>
        </w:pBdr>
        <w:shd w:val="clear" w:color="auto" w:fill="F2F2F2"/>
        <w:rPr>
          <w:rFonts w:cs="Calibri"/>
          <w:b/>
          <w:lang w:val="uk-UA"/>
        </w:rPr>
      </w:pPr>
      <w:r w:rsidRPr="006E7A0D">
        <w:rPr>
          <w:rFonts w:cs="Calibri"/>
          <w:b/>
          <w:i/>
          <w:lang w:val="uk-UA"/>
        </w:rPr>
        <w:t xml:space="preserve"> </w:t>
      </w:r>
      <w:r w:rsidR="007D52DE" w:rsidRPr="006E7A0D">
        <w:rPr>
          <w:rFonts w:cs="Calibri"/>
          <w:b/>
          <w:i/>
          <w:lang w:val="uk-UA"/>
        </w:rPr>
        <w:t xml:space="preserve">«Україна у фокусі» </w:t>
      </w:r>
      <w:r w:rsidR="007D52DE" w:rsidRPr="006E7A0D">
        <w:rPr>
          <w:rFonts w:cs="Calibri"/>
          <w:i/>
          <w:lang w:val="uk-UA"/>
        </w:rPr>
        <w:t>–</w:t>
      </w:r>
      <w:r w:rsidR="007D52DE" w:rsidRPr="006E7A0D">
        <w:rPr>
          <w:rFonts w:cs="Calibri"/>
          <w:b/>
          <w:i/>
          <w:lang w:val="uk-UA"/>
        </w:rPr>
        <w:t xml:space="preserve"> </w:t>
      </w:r>
      <w:r w:rsidR="007D52DE" w:rsidRPr="006E7A0D">
        <w:rPr>
          <w:rFonts w:cs="Calibri"/>
          <w:lang w:val="uk-UA"/>
        </w:rPr>
        <w:t xml:space="preserve">щотижневий інформаційно-аналітичний бюлетень Фонду «Демократичні ініціативи» імені Ілька </w:t>
      </w:r>
      <w:proofErr w:type="spellStart"/>
      <w:r w:rsidR="007D52DE" w:rsidRPr="006E7A0D">
        <w:rPr>
          <w:rFonts w:cs="Calibri"/>
          <w:lang w:val="uk-UA"/>
        </w:rPr>
        <w:t>Кучеріва</w:t>
      </w:r>
      <w:proofErr w:type="spellEnd"/>
      <w:r w:rsidR="007D52DE" w:rsidRPr="006E7A0D">
        <w:rPr>
          <w:rFonts w:cs="Calibri"/>
          <w:lang w:val="uk-UA"/>
        </w:rPr>
        <w:t xml:space="preserve"> (http://dif.org.ua).</w:t>
      </w:r>
      <w:r w:rsidR="007D52DE" w:rsidRPr="006E7A0D">
        <w:rPr>
          <w:rFonts w:cs="Calibri"/>
          <w:b/>
          <w:i/>
          <w:lang w:val="uk-UA"/>
        </w:rPr>
        <w:t xml:space="preserve">  </w:t>
      </w:r>
    </w:p>
    <w:p w:rsidR="007D52DE" w:rsidRPr="006E7A0D" w:rsidRDefault="007D52DE" w:rsidP="007D52DE">
      <w:pPr>
        <w:pBdr>
          <w:top w:val="single" w:sz="4" w:space="1" w:color="auto"/>
          <w:bottom w:val="single" w:sz="4" w:space="1" w:color="auto"/>
        </w:pBdr>
        <w:shd w:val="clear" w:color="auto" w:fill="F2F2F2"/>
        <w:jc w:val="center"/>
        <w:rPr>
          <w:rFonts w:cs="Calibri"/>
          <w:b/>
          <w:lang w:val="uk-UA"/>
        </w:rPr>
      </w:pPr>
      <w:r w:rsidRPr="006E7A0D">
        <w:rPr>
          <w:rFonts w:cs="Calibri"/>
          <w:b/>
          <w:lang w:val="uk-UA"/>
        </w:rPr>
        <w:t>Аналітики фонду «ДІ»:</w:t>
      </w:r>
    </w:p>
    <w:p w:rsidR="007D52DE" w:rsidRPr="006E7A0D" w:rsidRDefault="007D52DE" w:rsidP="007D52DE">
      <w:pPr>
        <w:pBdr>
          <w:top w:val="single" w:sz="4" w:space="1" w:color="auto"/>
          <w:bottom w:val="single" w:sz="4" w:space="1" w:color="auto"/>
        </w:pBdr>
        <w:shd w:val="clear" w:color="auto" w:fill="F2F2F2"/>
        <w:spacing w:after="0" w:afterAutospacing="0"/>
        <w:jc w:val="center"/>
        <w:rPr>
          <w:rFonts w:cs="Calibri"/>
          <w:b/>
          <w:i/>
          <w:lang w:val="uk-UA"/>
        </w:rPr>
      </w:pPr>
      <w:r w:rsidRPr="006E7A0D">
        <w:rPr>
          <w:rFonts w:cs="Calibri"/>
          <w:i/>
          <w:lang w:val="uk-UA"/>
        </w:rPr>
        <w:t>Ірина</w:t>
      </w:r>
      <w:r w:rsidRPr="006E7A0D">
        <w:rPr>
          <w:rFonts w:cs="Calibri"/>
          <w:b/>
          <w:i/>
          <w:lang w:val="uk-UA"/>
        </w:rPr>
        <w:t xml:space="preserve"> </w:t>
      </w:r>
      <w:proofErr w:type="spellStart"/>
      <w:r w:rsidRPr="006E7A0D">
        <w:rPr>
          <w:rFonts w:cs="Calibri"/>
          <w:b/>
          <w:i/>
          <w:lang w:val="uk-UA"/>
        </w:rPr>
        <w:t>Бекешкіна</w:t>
      </w:r>
      <w:proofErr w:type="spellEnd"/>
      <w:r w:rsidRPr="006E7A0D">
        <w:rPr>
          <w:rFonts w:cs="Calibri"/>
          <w:b/>
          <w:i/>
          <w:lang w:val="uk-UA"/>
        </w:rPr>
        <w:br/>
      </w:r>
      <w:r w:rsidRPr="006E7A0D">
        <w:rPr>
          <w:rFonts w:cs="Calibri"/>
          <w:i/>
          <w:lang w:val="uk-UA"/>
        </w:rPr>
        <w:t>Олексій</w:t>
      </w:r>
      <w:r w:rsidRPr="006E7A0D">
        <w:rPr>
          <w:rFonts w:cs="Calibri"/>
          <w:b/>
          <w:i/>
          <w:lang w:val="uk-UA"/>
        </w:rPr>
        <w:t xml:space="preserve"> </w:t>
      </w:r>
      <w:proofErr w:type="spellStart"/>
      <w:r w:rsidRPr="006E7A0D">
        <w:rPr>
          <w:rFonts w:cs="Calibri"/>
          <w:b/>
          <w:i/>
          <w:lang w:val="uk-UA"/>
        </w:rPr>
        <w:t>Гарань</w:t>
      </w:r>
      <w:proofErr w:type="spellEnd"/>
      <w:r w:rsidRPr="006E7A0D">
        <w:rPr>
          <w:rFonts w:cs="Calibri"/>
          <w:b/>
          <w:i/>
          <w:lang w:val="uk-UA"/>
        </w:rPr>
        <w:br/>
      </w:r>
      <w:r w:rsidRPr="006E7A0D">
        <w:rPr>
          <w:rFonts w:cs="Calibri"/>
          <w:i/>
          <w:lang w:val="uk-UA"/>
        </w:rPr>
        <w:t>Марія</w:t>
      </w:r>
      <w:r w:rsidRPr="006E7A0D">
        <w:rPr>
          <w:rFonts w:cs="Calibri"/>
          <w:b/>
          <w:i/>
          <w:lang w:val="uk-UA"/>
        </w:rPr>
        <w:t xml:space="preserve"> </w:t>
      </w:r>
      <w:proofErr w:type="spellStart"/>
      <w:r w:rsidRPr="006E7A0D">
        <w:rPr>
          <w:rFonts w:cs="Calibri"/>
          <w:b/>
          <w:i/>
          <w:lang w:val="uk-UA"/>
        </w:rPr>
        <w:t>Золкіна</w:t>
      </w:r>
      <w:proofErr w:type="spellEnd"/>
      <w:r w:rsidRPr="006E7A0D">
        <w:rPr>
          <w:rFonts w:cs="Calibri"/>
          <w:b/>
          <w:i/>
          <w:lang w:val="uk-UA"/>
        </w:rPr>
        <w:br/>
      </w:r>
      <w:r w:rsidRPr="006E7A0D">
        <w:rPr>
          <w:rFonts w:cs="Calibri"/>
          <w:i/>
          <w:lang w:val="uk-UA"/>
        </w:rPr>
        <w:t>Руслан</w:t>
      </w:r>
      <w:r w:rsidRPr="006E7A0D">
        <w:rPr>
          <w:rFonts w:cs="Calibri"/>
          <w:b/>
          <w:i/>
          <w:lang w:val="uk-UA"/>
        </w:rPr>
        <w:t xml:space="preserve"> Кермач</w:t>
      </w:r>
      <w:r w:rsidRPr="006E7A0D">
        <w:rPr>
          <w:rFonts w:cs="Calibri"/>
          <w:b/>
          <w:i/>
          <w:lang w:val="uk-UA"/>
        </w:rPr>
        <w:br/>
      </w:r>
      <w:r w:rsidRPr="006E7A0D">
        <w:rPr>
          <w:rFonts w:cs="Calibri"/>
          <w:i/>
          <w:lang w:val="uk-UA"/>
        </w:rPr>
        <w:t>Олексій</w:t>
      </w:r>
      <w:r w:rsidRPr="006E7A0D">
        <w:rPr>
          <w:rFonts w:cs="Calibri"/>
          <w:b/>
          <w:i/>
          <w:lang w:val="uk-UA"/>
        </w:rPr>
        <w:t xml:space="preserve"> Сидорчук</w:t>
      </w:r>
    </w:p>
    <w:p w:rsidR="007D52DE" w:rsidRPr="006E7A0D" w:rsidRDefault="007D52DE" w:rsidP="007D52DE">
      <w:pPr>
        <w:pBdr>
          <w:top w:val="single" w:sz="4" w:space="1" w:color="auto"/>
          <w:bottom w:val="single" w:sz="4" w:space="1" w:color="auto"/>
        </w:pBdr>
        <w:shd w:val="clear" w:color="auto" w:fill="F2F2F2"/>
        <w:spacing w:before="0" w:beforeAutospacing="0" w:after="0" w:afterAutospacing="0"/>
        <w:jc w:val="center"/>
        <w:rPr>
          <w:rFonts w:cs="Calibri"/>
          <w:b/>
          <w:i/>
          <w:lang w:val="uk-UA"/>
        </w:rPr>
      </w:pPr>
      <w:r w:rsidRPr="006E7A0D">
        <w:rPr>
          <w:rFonts w:cs="Calibri"/>
          <w:i/>
          <w:lang w:val="uk-UA"/>
        </w:rPr>
        <w:t>Андрій</w:t>
      </w:r>
      <w:r w:rsidRPr="006E7A0D">
        <w:rPr>
          <w:rFonts w:cs="Calibri"/>
          <w:b/>
          <w:i/>
          <w:lang w:val="uk-UA"/>
        </w:rPr>
        <w:t xml:space="preserve"> Сухарина</w:t>
      </w:r>
    </w:p>
    <w:p w:rsidR="007D52DE" w:rsidRDefault="007D52DE" w:rsidP="00417DCF">
      <w:pPr>
        <w:pBdr>
          <w:top w:val="single" w:sz="4" w:space="1" w:color="auto"/>
          <w:bottom w:val="single" w:sz="4" w:space="1" w:color="auto"/>
        </w:pBdr>
        <w:shd w:val="clear" w:color="auto" w:fill="F2F2F2"/>
        <w:spacing w:after="0" w:afterAutospacing="0"/>
        <w:jc w:val="center"/>
        <w:rPr>
          <w:rFonts w:cs="Calibri"/>
          <w:b/>
          <w:i/>
          <w:lang w:val="uk-UA"/>
        </w:rPr>
      </w:pPr>
      <w:r w:rsidRPr="006E7A0D">
        <w:rPr>
          <w:rFonts w:cs="Calibri"/>
          <w:b/>
          <w:i/>
          <w:lang w:val="uk-UA"/>
        </w:rPr>
        <w:br/>
      </w:r>
      <w:r w:rsidRPr="006E7A0D">
        <w:rPr>
          <w:rFonts w:cs="Calibri"/>
          <w:b/>
          <w:lang w:val="uk-UA"/>
        </w:rPr>
        <w:t>Редактор випуску</w:t>
      </w:r>
      <w:r w:rsidRPr="006E7A0D">
        <w:rPr>
          <w:rFonts w:cs="Calibri"/>
          <w:b/>
          <w:i/>
          <w:lang w:val="uk-UA"/>
        </w:rPr>
        <w:t>:</w:t>
      </w:r>
      <w:r w:rsidRPr="006E7A0D">
        <w:rPr>
          <w:rFonts w:cs="Calibri"/>
          <w:b/>
          <w:lang w:val="uk-UA"/>
        </w:rPr>
        <w:t xml:space="preserve"> </w:t>
      </w:r>
      <w:r w:rsidRPr="006E7A0D">
        <w:rPr>
          <w:rFonts w:cs="Calibri"/>
          <w:i/>
          <w:lang w:val="uk-UA"/>
        </w:rPr>
        <w:t>Ірина</w:t>
      </w:r>
      <w:r w:rsidRPr="006E7A0D">
        <w:rPr>
          <w:rFonts w:cs="Calibri"/>
          <w:b/>
          <w:i/>
          <w:lang w:val="uk-UA"/>
        </w:rPr>
        <w:t xml:space="preserve"> </w:t>
      </w:r>
      <w:proofErr w:type="spellStart"/>
      <w:r w:rsidRPr="006E7A0D">
        <w:rPr>
          <w:rFonts w:cs="Calibri"/>
          <w:b/>
          <w:i/>
          <w:lang w:val="uk-UA"/>
        </w:rPr>
        <w:t>Філіпчук</w:t>
      </w:r>
      <w:proofErr w:type="spellEnd"/>
    </w:p>
    <w:p w:rsidR="00417DCF" w:rsidRPr="00417DCF" w:rsidRDefault="00417DCF" w:rsidP="00417DCF">
      <w:pPr>
        <w:pBdr>
          <w:top w:val="single" w:sz="4" w:space="1" w:color="auto"/>
          <w:bottom w:val="single" w:sz="4" w:space="1" w:color="auto"/>
        </w:pBdr>
        <w:shd w:val="clear" w:color="auto" w:fill="F2F2F2"/>
        <w:spacing w:before="0" w:beforeAutospacing="0"/>
        <w:jc w:val="center"/>
        <w:rPr>
          <w:rFonts w:cs="Calibri"/>
          <w:b/>
          <w:i/>
          <w:lang w:val="uk-UA"/>
        </w:rPr>
      </w:pPr>
      <w:r w:rsidRPr="00417DCF">
        <w:rPr>
          <w:rFonts w:cs="Calibri"/>
          <w:b/>
          <w:lang w:val="uk-UA"/>
        </w:rPr>
        <w:t>Обкладинка і верстка</w:t>
      </w:r>
      <w:r>
        <w:rPr>
          <w:rFonts w:cs="Calibri"/>
          <w:b/>
          <w:i/>
          <w:lang w:val="uk-UA"/>
        </w:rPr>
        <w:t xml:space="preserve">: </w:t>
      </w:r>
      <w:r>
        <w:rPr>
          <w:rFonts w:cs="Calibri"/>
          <w:i/>
          <w:lang w:val="uk-UA"/>
        </w:rPr>
        <w:t xml:space="preserve">Ілля </w:t>
      </w:r>
      <w:proofErr w:type="spellStart"/>
      <w:r>
        <w:rPr>
          <w:rFonts w:cs="Calibri"/>
          <w:b/>
          <w:i/>
          <w:lang w:val="uk-UA"/>
        </w:rPr>
        <w:t>Свергун</w:t>
      </w:r>
      <w:proofErr w:type="spellEnd"/>
    </w:p>
    <w:sectPr w:rsidR="00417DCF" w:rsidRPr="00417DCF" w:rsidSect="00512661">
      <w:headerReference w:type="default" r:id="rId15"/>
      <w:footerReference w:type="default" r:id="rId16"/>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FF" w:rsidRDefault="00B520FF" w:rsidP="00057F3D">
      <w:r>
        <w:separator/>
      </w:r>
    </w:p>
  </w:endnote>
  <w:endnote w:type="continuationSeparator" w:id="0">
    <w:p w:rsidR="00B520FF" w:rsidRDefault="00B520FF" w:rsidP="000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0009"/>
      <w:docPartObj>
        <w:docPartGallery w:val="Page Numbers (Bottom of Page)"/>
        <w:docPartUnique/>
      </w:docPartObj>
    </w:sdtPr>
    <w:sdtEndPr>
      <w:rPr>
        <w:color w:val="244061" w:themeColor="accent1" w:themeShade="80"/>
        <w:sz w:val="32"/>
        <w:szCs w:val="32"/>
      </w:rPr>
    </w:sdtEndPr>
    <w:sdtContent>
      <w:p w:rsidR="0052222E" w:rsidRDefault="00BD4409">
        <w:pPr>
          <w:pStyle w:val="ae"/>
          <w:jc w:val="center"/>
        </w:pPr>
        <w:r>
          <w:rPr>
            <w:b/>
            <w:color w:val="244061" w:themeColor="accent1" w:themeShade="80"/>
            <w:sz w:val="32"/>
            <w:szCs w:val="32"/>
          </w:rPr>
          <w:fldChar w:fldCharType="begin"/>
        </w:r>
        <w:r w:rsidR="00512661">
          <w:rPr>
            <w:b/>
            <w:color w:val="244061" w:themeColor="accent1" w:themeShade="80"/>
            <w:sz w:val="32"/>
            <w:szCs w:val="32"/>
          </w:rPr>
          <w:instrText xml:space="preserve"> PAGE   \* MERGEFORMAT </w:instrText>
        </w:r>
        <w:r>
          <w:rPr>
            <w:b/>
            <w:color w:val="244061" w:themeColor="accent1" w:themeShade="80"/>
            <w:sz w:val="32"/>
            <w:szCs w:val="32"/>
          </w:rPr>
          <w:fldChar w:fldCharType="separate"/>
        </w:r>
        <w:r w:rsidR="003B2071">
          <w:rPr>
            <w:b/>
            <w:noProof/>
            <w:color w:val="244061" w:themeColor="accent1" w:themeShade="80"/>
            <w:sz w:val="32"/>
            <w:szCs w:val="32"/>
          </w:rPr>
          <w:t>4</w:t>
        </w:r>
        <w:r>
          <w:rPr>
            <w:b/>
            <w:color w:val="244061" w:themeColor="accent1" w:themeShade="80"/>
            <w:sz w:val="32"/>
            <w:szCs w:val="32"/>
          </w:rPr>
          <w:fldChar w:fldCharType="end"/>
        </w:r>
      </w:p>
    </w:sdtContent>
  </w:sdt>
  <w:p w:rsidR="0052222E" w:rsidRDefault="005222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FF" w:rsidRDefault="00B520FF" w:rsidP="00057F3D">
      <w:r>
        <w:separator/>
      </w:r>
    </w:p>
  </w:footnote>
  <w:footnote w:type="continuationSeparator" w:id="0">
    <w:p w:rsidR="00B520FF" w:rsidRDefault="00B520FF" w:rsidP="00057F3D">
      <w:r>
        <w:continuationSeparator/>
      </w:r>
    </w:p>
  </w:footnote>
  <w:footnote w:id="1">
    <w:p w:rsidR="00FB7582" w:rsidRDefault="00FB7582" w:rsidP="00FB7582">
      <w:pPr>
        <w:pStyle w:val="a9"/>
      </w:pPr>
      <w:r>
        <w:rPr>
          <w:rStyle w:val="ab"/>
        </w:rPr>
        <w:footnoteRef/>
      </w:r>
      <w:r>
        <w:t xml:space="preserve"> </w:t>
      </w:r>
      <w:r>
        <w:rPr>
          <w:lang w:val="ru-RU"/>
        </w:rPr>
        <w:t xml:space="preserve">      </w:t>
      </w:r>
      <w:r w:rsidRPr="002D1E0A">
        <w:t>Як НАБУ та САП розслідували "бурштинову" схему. Фільм</w:t>
      </w:r>
      <w:r>
        <w:t xml:space="preserve"> //</w:t>
      </w:r>
      <w:r>
        <w:rPr>
          <w:lang w:val="ru-RU"/>
        </w:rPr>
        <w:t xml:space="preserve"> </w:t>
      </w:r>
      <w:r w:rsidRPr="002D1E0A">
        <w:t>https://youtu.be/maD-Fhqr-rY</w:t>
      </w:r>
    </w:p>
  </w:footnote>
  <w:footnote w:id="2">
    <w:p w:rsidR="00FB7582" w:rsidRPr="00FB7582" w:rsidRDefault="00FB7582">
      <w:pPr>
        <w:pStyle w:val="a9"/>
        <w:rPr>
          <w:lang w:val="ru-RU"/>
        </w:rPr>
      </w:pPr>
      <w:r>
        <w:rPr>
          <w:rStyle w:val="ab"/>
        </w:rPr>
        <w:footnoteRef/>
      </w:r>
      <w:r>
        <w:rPr>
          <w:lang w:val="ru-RU"/>
        </w:rPr>
        <w:t xml:space="preserve"> </w:t>
      </w:r>
      <w:r w:rsidRPr="00761E88">
        <w:t xml:space="preserve">Нещасливий </w:t>
      </w:r>
      <w:proofErr w:type="spellStart"/>
      <w:r w:rsidRPr="00761E88">
        <w:t>гурме</w:t>
      </w:r>
      <w:proofErr w:type="spellEnd"/>
      <w:r w:rsidRPr="00761E88">
        <w:t xml:space="preserve">. Київські ресторани у справі </w:t>
      </w:r>
      <w:proofErr w:type="spellStart"/>
      <w:r w:rsidRPr="00761E88">
        <w:t>Розенблата</w:t>
      </w:r>
      <w:proofErr w:type="spellEnd"/>
      <w:r>
        <w:t xml:space="preserve">. – Режим доступу: </w:t>
      </w:r>
      <w:r w:rsidRPr="00256C73">
        <w:t xml:space="preserve"> http://www.pravda.com.ua/articles/2017/06/28/7148065/</w:t>
      </w:r>
    </w:p>
  </w:footnote>
  <w:footnote w:id="3">
    <w:p w:rsidR="00FB7582" w:rsidRPr="00FB7582" w:rsidRDefault="00FB7582">
      <w:pPr>
        <w:pStyle w:val="a9"/>
        <w:rPr>
          <w:lang w:val="ru-RU"/>
        </w:rPr>
      </w:pPr>
      <w:r>
        <w:rPr>
          <w:rStyle w:val="ab"/>
        </w:rPr>
        <w:footnoteRef/>
      </w:r>
      <w:r>
        <w:rPr>
          <w:lang w:val="ru-RU"/>
        </w:rPr>
        <w:t xml:space="preserve">    </w:t>
      </w:r>
      <w:r>
        <w:t xml:space="preserve">У суботу 15 липня 2017 р. Печерський суд Києва обрав запобіжний захід  Михайлу </w:t>
      </w:r>
      <w:proofErr w:type="spellStart"/>
      <w:r>
        <w:t>Добкіну</w:t>
      </w:r>
      <w:proofErr w:type="spellEnd"/>
      <w:r>
        <w:t xml:space="preserve"> у вигляді тримання під вартою з альтернативою сплати 50 </w:t>
      </w:r>
      <w:proofErr w:type="spellStart"/>
      <w:r>
        <w:t>млн</w:t>
      </w:r>
      <w:proofErr w:type="spellEnd"/>
      <w:r>
        <w:t xml:space="preserve"> гривень застави.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23"/>
      <w:docPartObj>
        <w:docPartGallery w:val="Page Numbers (Margins)"/>
        <w:docPartUnique/>
      </w:docPartObj>
    </w:sdtPr>
    <w:sdtEndPr/>
    <w:sdtContent>
      <w:p w:rsidR="00512661" w:rsidRDefault="002B325C">
        <w:pPr>
          <w:pStyle w:val="ac"/>
        </w:pPr>
        <w:r>
          <w:rPr>
            <w:noProof/>
            <w:lang w:val="uk-UA" w:eastAsia="uk-UA"/>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19455" cy="807021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807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661" w:rsidRPr="00512661" w:rsidRDefault="00512661" w:rsidP="00512661">
                              <w:pPr>
                                <w:rPr>
                                  <w:b/>
                                  <w:color w:val="244061" w:themeColor="accent1" w:themeShade="80"/>
                                  <w:lang w:val="uk-UA"/>
                                </w:rPr>
                              </w:pPr>
                              <w:proofErr w:type="spellStart"/>
                              <w:proofErr w:type="gramStart"/>
                              <w:r w:rsidRPr="00512661">
                                <w:rPr>
                                  <w:b/>
                                  <w:color w:val="244061" w:themeColor="accent1" w:themeShade="80"/>
                                  <w:lang w:val="en-US"/>
                                </w:rPr>
                                <w:t>dif</w:t>
                              </w:r>
                              <w:proofErr w:type="spellEnd"/>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proofErr w:type="spellStart"/>
                              <w:r w:rsidRPr="00512661">
                                <w:rPr>
                                  <w:b/>
                                  <w:color w:val="244061" w:themeColor="accent1" w:themeShade="80"/>
                                  <w:lang w:val="en-US"/>
                                </w:rPr>
                                <w:t>ua</w:t>
                              </w:r>
                              <w:proofErr w:type="spellEnd"/>
                              <w:proofErr w:type="gram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proofErr w:type="spellStart"/>
                              <w:r w:rsidRPr="00512661">
                                <w:rPr>
                                  <w:b/>
                                  <w:color w:val="244061" w:themeColor="accent1" w:themeShade="80"/>
                                </w:rPr>
                                <w:t>Україна</w:t>
                              </w:r>
                              <w:proofErr w:type="spellEnd"/>
                              <w:r w:rsidRPr="00512661">
                                <w:rPr>
                                  <w:b/>
                                  <w:color w:val="244061" w:themeColor="accent1" w:themeShade="80"/>
                                </w:rPr>
                                <w:t xml:space="preserve"> у </w:t>
                              </w:r>
                              <w:proofErr w:type="spellStart"/>
                              <w:r w:rsidRPr="00512661">
                                <w:rPr>
                                  <w:b/>
                                  <w:color w:val="244061" w:themeColor="accent1" w:themeShade="80"/>
                                </w:rPr>
                                <w:t>фокусі</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965739">
                                <w:rPr>
                                  <w:b/>
                                  <w:color w:val="244061" w:themeColor="accent1" w:themeShade="80"/>
                                  <w:lang w:val="uk-UA"/>
                                </w:rPr>
                                <w:t>Липень</w:t>
                              </w:r>
                              <w:r w:rsidR="00B50725">
                                <w:rPr>
                                  <w:b/>
                                  <w:color w:val="244061" w:themeColor="accent1" w:themeShade="80"/>
                                  <w:lang w:val="uk-UA"/>
                                </w:rPr>
                                <w:t xml:space="preserve"> </w:t>
                              </w:r>
                              <w:r w:rsidR="00965739">
                                <w:rPr>
                                  <w:b/>
                                  <w:color w:val="244061" w:themeColor="accent1" w:themeShade="80"/>
                                </w:rPr>
                                <w:t>10</w:t>
                              </w:r>
                              <w:r w:rsidR="000C367D">
                                <w:rPr>
                                  <w:b/>
                                  <w:color w:val="244061" w:themeColor="accent1" w:themeShade="80"/>
                                </w:rPr>
                                <w:t>-</w:t>
                              </w:r>
                              <w:r w:rsidR="00965739">
                                <w:rPr>
                                  <w:b/>
                                  <w:color w:val="244061" w:themeColor="accent1" w:themeShade="80"/>
                                </w:rPr>
                                <w:t>16</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wps:txbx>
                        <wps:bodyPr rot="0" vert="vert270"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1" o:spid="_x0000_s1026" style="position:absolute;left:0;text-align:left;margin-left:0;margin-top:0;width:56.65pt;height:635.4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" o:allowincell="f" stroked="f">
                  <v:textbox style="layout-flow:vertical;mso-layout-flow-alt:bottom-to-top">
                    <w:txbxContent>
                      <w:p w:rsidR="00512661" w:rsidRPr="00512661" w:rsidRDefault="00512661" w:rsidP="00512661">
                        <w:pPr>
                          <w:rPr>
                            <w:b/>
                            <w:color w:val="244061" w:themeColor="accent1" w:themeShade="80"/>
                            <w:lang w:val="uk-UA"/>
                          </w:rPr>
                        </w:pPr>
                        <w:r w:rsidRPr="00512661">
                          <w:rPr>
                            <w:b/>
                            <w:color w:val="244061" w:themeColor="accent1" w:themeShade="80"/>
                            <w:lang w:val="en-US"/>
                          </w:rPr>
                          <w:t>dif</w:t>
                        </w:r>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r w:rsidRPr="00512661">
                          <w:rPr>
                            <w:b/>
                            <w:color w:val="244061" w:themeColor="accent1" w:themeShade="80"/>
                            <w:lang w:val="en-US"/>
                          </w:rPr>
                          <w:t>ua</w:t>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t>Україна у фокусі</w:t>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965739">
                          <w:rPr>
                            <w:b/>
                            <w:color w:val="244061" w:themeColor="accent1" w:themeShade="80"/>
                            <w:lang w:val="uk-UA"/>
                          </w:rPr>
                          <w:t>Липень</w:t>
                        </w:r>
                        <w:r w:rsidR="00B50725">
                          <w:rPr>
                            <w:b/>
                            <w:color w:val="244061" w:themeColor="accent1" w:themeShade="80"/>
                            <w:lang w:val="uk-UA"/>
                          </w:rPr>
                          <w:t xml:space="preserve"> </w:t>
                        </w:r>
                        <w:r w:rsidR="00965739">
                          <w:rPr>
                            <w:b/>
                            <w:color w:val="244061" w:themeColor="accent1" w:themeShade="80"/>
                          </w:rPr>
                          <w:t>10</w:t>
                        </w:r>
                        <w:r w:rsidR="000C367D">
                          <w:rPr>
                            <w:b/>
                            <w:color w:val="244061" w:themeColor="accent1" w:themeShade="80"/>
                          </w:rPr>
                          <w:t>-</w:t>
                        </w:r>
                        <w:r w:rsidR="00965739">
                          <w:rPr>
                            <w:b/>
                            <w:color w:val="244061" w:themeColor="accent1" w:themeShade="80"/>
                          </w:rPr>
                          <w:t>16</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02C"/>
    <w:multiLevelType w:val="multilevel"/>
    <w:tmpl w:val="11E27CD6"/>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nsid w:val="16B41FD3"/>
    <w:multiLevelType w:val="hybridMultilevel"/>
    <w:tmpl w:val="0FB2A0A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CBC62B4"/>
    <w:multiLevelType w:val="multilevel"/>
    <w:tmpl w:val="9C1C4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E7870F4"/>
    <w:multiLevelType w:val="hybridMultilevel"/>
    <w:tmpl w:val="6016962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30F90985"/>
    <w:multiLevelType w:val="multilevel"/>
    <w:tmpl w:val="E6BA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73962"/>
    <w:multiLevelType w:val="multilevel"/>
    <w:tmpl w:val="2892E37A"/>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6">
    <w:nsid w:val="425F00D9"/>
    <w:multiLevelType w:val="multilevel"/>
    <w:tmpl w:val="5ABE8DD2"/>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
    <w:nsid w:val="45EF16CC"/>
    <w:multiLevelType w:val="hybridMultilevel"/>
    <w:tmpl w:val="80026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5847031"/>
    <w:multiLevelType w:val="hybridMultilevel"/>
    <w:tmpl w:val="958A6D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ACD2976"/>
    <w:multiLevelType w:val="hybridMultilevel"/>
    <w:tmpl w:val="D4B22AE4"/>
    <w:lvl w:ilvl="0" w:tplc="A150E842">
      <w:start w:val="1"/>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5CF61B7A"/>
    <w:multiLevelType w:val="multilevel"/>
    <w:tmpl w:val="AD38C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F39481D"/>
    <w:multiLevelType w:val="multilevel"/>
    <w:tmpl w:val="96C201E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2">
    <w:nsid w:val="7D86511C"/>
    <w:multiLevelType w:val="hybridMultilevel"/>
    <w:tmpl w:val="BCA8F7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2"/>
  </w:num>
  <w:num w:numId="5">
    <w:abstractNumId w:val="5"/>
  </w:num>
  <w:num w:numId="6">
    <w:abstractNumId w:val="6"/>
  </w:num>
  <w:num w:numId="7">
    <w:abstractNumId w:val="0"/>
  </w:num>
  <w:num w:numId="8">
    <w:abstractNumId w:val="11"/>
  </w:num>
  <w:num w:numId="9">
    <w:abstractNumId w:val="7"/>
  </w:num>
  <w:num w:numId="10">
    <w:abstractNumId w:val="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54"/>
    <w:rsid w:val="000166D5"/>
    <w:rsid w:val="000203FB"/>
    <w:rsid w:val="00020E94"/>
    <w:rsid w:val="00024FCE"/>
    <w:rsid w:val="00033B41"/>
    <w:rsid w:val="00036FAD"/>
    <w:rsid w:val="00047A1F"/>
    <w:rsid w:val="00055C16"/>
    <w:rsid w:val="00057F3D"/>
    <w:rsid w:val="00067141"/>
    <w:rsid w:val="000A18F0"/>
    <w:rsid w:val="000C367D"/>
    <w:rsid w:val="000D3394"/>
    <w:rsid w:val="000D7202"/>
    <w:rsid w:val="00117302"/>
    <w:rsid w:val="0012495E"/>
    <w:rsid w:val="001328C4"/>
    <w:rsid w:val="001578AD"/>
    <w:rsid w:val="00190B35"/>
    <w:rsid w:val="001A4C05"/>
    <w:rsid w:val="001C1EC3"/>
    <w:rsid w:val="001C281D"/>
    <w:rsid w:val="001E074A"/>
    <w:rsid w:val="001F1875"/>
    <w:rsid w:val="001F7BAF"/>
    <w:rsid w:val="00204AD1"/>
    <w:rsid w:val="002074A1"/>
    <w:rsid w:val="00233CC4"/>
    <w:rsid w:val="00236AAC"/>
    <w:rsid w:val="00244EB5"/>
    <w:rsid w:val="002510F0"/>
    <w:rsid w:val="00255C3E"/>
    <w:rsid w:val="002601B6"/>
    <w:rsid w:val="00272FA2"/>
    <w:rsid w:val="00281811"/>
    <w:rsid w:val="00290761"/>
    <w:rsid w:val="002A618A"/>
    <w:rsid w:val="002A7AFF"/>
    <w:rsid w:val="002B325C"/>
    <w:rsid w:val="002D40DA"/>
    <w:rsid w:val="002D5B6A"/>
    <w:rsid w:val="0030264F"/>
    <w:rsid w:val="00310431"/>
    <w:rsid w:val="0032104F"/>
    <w:rsid w:val="0032248C"/>
    <w:rsid w:val="00327066"/>
    <w:rsid w:val="00341651"/>
    <w:rsid w:val="003526DA"/>
    <w:rsid w:val="003621C2"/>
    <w:rsid w:val="0036424A"/>
    <w:rsid w:val="0036683B"/>
    <w:rsid w:val="00380655"/>
    <w:rsid w:val="00383707"/>
    <w:rsid w:val="003858FB"/>
    <w:rsid w:val="00387254"/>
    <w:rsid w:val="003875DC"/>
    <w:rsid w:val="00393E93"/>
    <w:rsid w:val="003A17CC"/>
    <w:rsid w:val="003B2071"/>
    <w:rsid w:val="003E3E0E"/>
    <w:rsid w:val="003E498F"/>
    <w:rsid w:val="00417B43"/>
    <w:rsid w:val="00417DCF"/>
    <w:rsid w:val="00424DBE"/>
    <w:rsid w:val="00426108"/>
    <w:rsid w:val="00430FA7"/>
    <w:rsid w:val="00444525"/>
    <w:rsid w:val="00452BB4"/>
    <w:rsid w:val="00465550"/>
    <w:rsid w:val="0046658D"/>
    <w:rsid w:val="004B393B"/>
    <w:rsid w:val="004B6E89"/>
    <w:rsid w:val="004E2616"/>
    <w:rsid w:val="005058BF"/>
    <w:rsid w:val="00510DCF"/>
    <w:rsid w:val="00512661"/>
    <w:rsid w:val="00512CB9"/>
    <w:rsid w:val="0052222E"/>
    <w:rsid w:val="00526E68"/>
    <w:rsid w:val="00543581"/>
    <w:rsid w:val="00544EFE"/>
    <w:rsid w:val="005677CD"/>
    <w:rsid w:val="00574F1A"/>
    <w:rsid w:val="005752B8"/>
    <w:rsid w:val="00575B0A"/>
    <w:rsid w:val="0057723C"/>
    <w:rsid w:val="00591502"/>
    <w:rsid w:val="00596AFD"/>
    <w:rsid w:val="005C3F95"/>
    <w:rsid w:val="005E61DA"/>
    <w:rsid w:val="005F06DD"/>
    <w:rsid w:val="005F0E38"/>
    <w:rsid w:val="00614901"/>
    <w:rsid w:val="00616E5B"/>
    <w:rsid w:val="00632023"/>
    <w:rsid w:val="006355B7"/>
    <w:rsid w:val="0067041C"/>
    <w:rsid w:val="0067405C"/>
    <w:rsid w:val="00686B8F"/>
    <w:rsid w:val="006A71D1"/>
    <w:rsid w:val="006C282D"/>
    <w:rsid w:val="006C4DCE"/>
    <w:rsid w:val="006E6F79"/>
    <w:rsid w:val="006E7A0D"/>
    <w:rsid w:val="006F4573"/>
    <w:rsid w:val="0070289E"/>
    <w:rsid w:val="00717BC7"/>
    <w:rsid w:val="00732FB3"/>
    <w:rsid w:val="0077787C"/>
    <w:rsid w:val="007831F0"/>
    <w:rsid w:val="00785E49"/>
    <w:rsid w:val="007867A7"/>
    <w:rsid w:val="00790C39"/>
    <w:rsid w:val="007949EA"/>
    <w:rsid w:val="007A0BC8"/>
    <w:rsid w:val="007D1432"/>
    <w:rsid w:val="007D3668"/>
    <w:rsid w:val="007D52DE"/>
    <w:rsid w:val="008151FA"/>
    <w:rsid w:val="008233C8"/>
    <w:rsid w:val="008304AD"/>
    <w:rsid w:val="00837314"/>
    <w:rsid w:val="00855697"/>
    <w:rsid w:val="00861CD2"/>
    <w:rsid w:val="008A14C7"/>
    <w:rsid w:val="008A67C8"/>
    <w:rsid w:val="008C1DEC"/>
    <w:rsid w:val="008E0529"/>
    <w:rsid w:val="008E2D04"/>
    <w:rsid w:val="008E597F"/>
    <w:rsid w:val="008F3CD1"/>
    <w:rsid w:val="008F476F"/>
    <w:rsid w:val="008F60D8"/>
    <w:rsid w:val="0090672F"/>
    <w:rsid w:val="009258A9"/>
    <w:rsid w:val="00925B21"/>
    <w:rsid w:val="009328E0"/>
    <w:rsid w:val="009364AF"/>
    <w:rsid w:val="00956521"/>
    <w:rsid w:val="00965739"/>
    <w:rsid w:val="00977754"/>
    <w:rsid w:val="00992B81"/>
    <w:rsid w:val="0099390B"/>
    <w:rsid w:val="009A0BF6"/>
    <w:rsid w:val="009A77CF"/>
    <w:rsid w:val="009B19D5"/>
    <w:rsid w:val="009C4B71"/>
    <w:rsid w:val="009C6DD6"/>
    <w:rsid w:val="009C7AF1"/>
    <w:rsid w:val="009D1318"/>
    <w:rsid w:val="009D67F7"/>
    <w:rsid w:val="009E542C"/>
    <w:rsid w:val="009F0A50"/>
    <w:rsid w:val="00A01149"/>
    <w:rsid w:val="00A23293"/>
    <w:rsid w:val="00A42E1C"/>
    <w:rsid w:val="00A477B8"/>
    <w:rsid w:val="00A50815"/>
    <w:rsid w:val="00A52967"/>
    <w:rsid w:val="00A7260E"/>
    <w:rsid w:val="00A80FE1"/>
    <w:rsid w:val="00A83990"/>
    <w:rsid w:val="00AA7B4F"/>
    <w:rsid w:val="00AB2821"/>
    <w:rsid w:val="00AB32B7"/>
    <w:rsid w:val="00AE7D00"/>
    <w:rsid w:val="00AF189C"/>
    <w:rsid w:val="00B03EDD"/>
    <w:rsid w:val="00B22F0F"/>
    <w:rsid w:val="00B42863"/>
    <w:rsid w:val="00B50725"/>
    <w:rsid w:val="00B520FF"/>
    <w:rsid w:val="00B745FC"/>
    <w:rsid w:val="00B7718B"/>
    <w:rsid w:val="00BA00B6"/>
    <w:rsid w:val="00BA4B62"/>
    <w:rsid w:val="00BA5D32"/>
    <w:rsid w:val="00BD4409"/>
    <w:rsid w:val="00BE492F"/>
    <w:rsid w:val="00BE593C"/>
    <w:rsid w:val="00C014F4"/>
    <w:rsid w:val="00C31B07"/>
    <w:rsid w:val="00C32A61"/>
    <w:rsid w:val="00C33186"/>
    <w:rsid w:val="00C41668"/>
    <w:rsid w:val="00C41974"/>
    <w:rsid w:val="00C438C9"/>
    <w:rsid w:val="00C470E7"/>
    <w:rsid w:val="00C707AA"/>
    <w:rsid w:val="00C75B7B"/>
    <w:rsid w:val="00C91A1E"/>
    <w:rsid w:val="00CD4507"/>
    <w:rsid w:val="00CD621A"/>
    <w:rsid w:val="00CD67C0"/>
    <w:rsid w:val="00CE331D"/>
    <w:rsid w:val="00CE7F09"/>
    <w:rsid w:val="00D20BF6"/>
    <w:rsid w:val="00D47922"/>
    <w:rsid w:val="00D602C0"/>
    <w:rsid w:val="00D72A64"/>
    <w:rsid w:val="00D75BC5"/>
    <w:rsid w:val="00D77A29"/>
    <w:rsid w:val="00D8095A"/>
    <w:rsid w:val="00D82B67"/>
    <w:rsid w:val="00D8300E"/>
    <w:rsid w:val="00DA6DA6"/>
    <w:rsid w:val="00DF327D"/>
    <w:rsid w:val="00E1516A"/>
    <w:rsid w:val="00E5723F"/>
    <w:rsid w:val="00E879F2"/>
    <w:rsid w:val="00EA4BDC"/>
    <w:rsid w:val="00EC2DA3"/>
    <w:rsid w:val="00EF327A"/>
    <w:rsid w:val="00F112CF"/>
    <w:rsid w:val="00F51EB0"/>
    <w:rsid w:val="00F5415B"/>
    <w:rsid w:val="00F543C3"/>
    <w:rsid w:val="00F56302"/>
    <w:rsid w:val="00F7492B"/>
    <w:rsid w:val="00F846F5"/>
    <w:rsid w:val="00F874AF"/>
    <w:rsid w:val="00F966BE"/>
    <w:rsid w:val="00FB5EBA"/>
    <w:rsid w:val="00FB7582"/>
    <w:rsid w:val="00FD27B9"/>
    <w:rsid w:val="00FD662C"/>
    <w:rsid w:val="00FE2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 w:type="paragraph" w:styleId="af6">
    <w:name w:val="endnote text"/>
    <w:basedOn w:val="a"/>
    <w:link w:val="af7"/>
    <w:uiPriority w:val="99"/>
    <w:semiHidden/>
    <w:unhideWhenUsed/>
    <w:rsid w:val="00FB7582"/>
    <w:pPr>
      <w:spacing w:before="0" w:after="0"/>
    </w:pPr>
    <w:rPr>
      <w:sz w:val="20"/>
      <w:szCs w:val="20"/>
    </w:rPr>
  </w:style>
  <w:style w:type="character" w:customStyle="1" w:styleId="af7">
    <w:name w:val="Текст концевой сноски Знак"/>
    <w:basedOn w:val="a0"/>
    <w:link w:val="af6"/>
    <w:uiPriority w:val="99"/>
    <w:semiHidden/>
    <w:rsid w:val="00FB7582"/>
    <w:rPr>
      <w:lang w:val="ru-RU" w:eastAsia="en-US"/>
    </w:rPr>
  </w:style>
  <w:style w:type="character" w:styleId="af8">
    <w:name w:val="endnote reference"/>
    <w:basedOn w:val="a0"/>
    <w:uiPriority w:val="99"/>
    <w:semiHidden/>
    <w:unhideWhenUsed/>
    <w:rsid w:val="00FB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 w:type="paragraph" w:styleId="af6">
    <w:name w:val="endnote text"/>
    <w:basedOn w:val="a"/>
    <w:link w:val="af7"/>
    <w:uiPriority w:val="99"/>
    <w:semiHidden/>
    <w:unhideWhenUsed/>
    <w:rsid w:val="00FB7582"/>
    <w:pPr>
      <w:spacing w:before="0" w:after="0"/>
    </w:pPr>
    <w:rPr>
      <w:sz w:val="20"/>
      <w:szCs w:val="20"/>
    </w:rPr>
  </w:style>
  <w:style w:type="character" w:customStyle="1" w:styleId="af7">
    <w:name w:val="Текст концевой сноски Знак"/>
    <w:basedOn w:val="a0"/>
    <w:link w:val="af6"/>
    <w:uiPriority w:val="99"/>
    <w:semiHidden/>
    <w:rsid w:val="00FB7582"/>
    <w:rPr>
      <w:lang w:val="ru-RU" w:eastAsia="en-US"/>
    </w:rPr>
  </w:style>
  <w:style w:type="character" w:styleId="af8">
    <w:name w:val="endnote reference"/>
    <w:basedOn w:val="a0"/>
    <w:uiPriority w:val="99"/>
    <w:semiHidden/>
    <w:unhideWhenUsed/>
    <w:rsid w:val="00FB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10394">
      <w:bodyDiv w:val="1"/>
      <w:marLeft w:val="0"/>
      <w:marRight w:val="0"/>
      <w:marTop w:val="0"/>
      <w:marBottom w:val="0"/>
      <w:divBdr>
        <w:top w:val="none" w:sz="0" w:space="0" w:color="auto"/>
        <w:left w:val="none" w:sz="0" w:space="0" w:color="auto"/>
        <w:bottom w:val="none" w:sz="0" w:space="0" w:color="auto"/>
        <w:right w:val="none" w:sz="0" w:space="0" w:color="auto"/>
      </w:divBdr>
      <w:divsChild>
        <w:div w:id="615596751">
          <w:marLeft w:val="0"/>
          <w:marRight w:val="0"/>
          <w:marTop w:val="0"/>
          <w:marBottom w:val="0"/>
          <w:divBdr>
            <w:top w:val="none" w:sz="0" w:space="0" w:color="auto"/>
            <w:left w:val="none" w:sz="0" w:space="0" w:color="auto"/>
            <w:bottom w:val="none" w:sz="0" w:space="0" w:color="auto"/>
            <w:right w:val="none" w:sz="0" w:space="0" w:color="auto"/>
          </w:divBdr>
          <w:divsChild>
            <w:div w:id="1112898946">
              <w:marLeft w:val="0"/>
              <w:marRight w:val="0"/>
              <w:marTop w:val="0"/>
              <w:marBottom w:val="0"/>
              <w:divBdr>
                <w:top w:val="none" w:sz="0" w:space="0" w:color="auto"/>
                <w:left w:val="none" w:sz="0" w:space="0" w:color="auto"/>
                <w:bottom w:val="none" w:sz="0" w:space="0" w:color="auto"/>
                <w:right w:val="none" w:sz="0" w:space="0" w:color="auto"/>
              </w:divBdr>
              <w:divsChild>
                <w:div w:id="1993410092">
                  <w:marLeft w:val="0"/>
                  <w:marRight w:val="0"/>
                  <w:marTop w:val="0"/>
                  <w:marBottom w:val="0"/>
                  <w:divBdr>
                    <w:top w:val="none" w:sz="0" w:space="0" w:color="auto"/>
                    <w:left w:val="none" w:sz="0" w:space="0" w:color="auto"/>
                    <w:bottom w:val="none" w:sz="0" w:space="0" w:color="auto"/>
                    <w:right w:val="none" w:sz="0" w:space="0" w:color="auto"/>
                  </w:divBdr>
                  <w:divsChild>
                    <w:div w:id="117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213">
          <w:marLeft w:val="0"/>
          <w:marRight w:val="0"/>
          <w:marTop w:val="0"/>
          <w:marBottom w:val="0"/>
          <w:divBdr>
            <w:top w:val="none" w:sz="0" w:space="0" w:color="auto"/>
            <w:left w:val="none" w:sz="0" w:space="0" w:color="auto"/>
            <w:bottom w:val="none" w:sz="0" w:space="0" w:color="auto"/>
            <w:right w:val="none" w:sz="0" w:space="0" w:color="auto"/>
          </w:divBdr>
          <w:divsChild>
            <w:div w:id="319582103">
              <w:marLeft w:val="0"/>
              <w:marRight w:val="0"/>
              <w:marTop w:val="0"/>
              <w:marBottom w:val="0"/>
              <w:divBdr>
                <w:top w:val="none" w:sz="0" w:space="0" w:color="auto"/>
                <w:left w:val="none" w:sz="0" w:space="0" w:color="auto"/>
                <w:bottom w:val="none" w:sz="0" w:space="0" w:color="auto"/>
                <w:right w:val="none" w:sz="0" w:space="0" w:color="auto"/>
              </w:divBdr>
              <w:divsChild>
                <w:div w:id="501773851">
                  <w:marLeft w:val="0"/>
                  <w:marRight w:val="0"/>
                  <w:marTop w:val="0"/>
                  <w:marBottom w:val="0"/>
                  <w:divBdr>
                    <w:top w:val="none" w:sz="0" w:space="0" w:color="auto"/>
                    <w:left w:val="none" w:sz="0" w:space="0" w:color="auto"/>
                    <w:bottom w:val="none" w:sz="0" w:space="0" w:color="auto"/>
                    <w:right w:val="none" w:sz="0" w:space="0" w:color="auto"/>
                  </w:divBdr>
                  <w:divsChild>
                    <w:div w:id="552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4890">
      <w:bodyDiv w:val="1"/>
      <w:marLeft w:val="0"/>
      <w:marRight w:val="0"/>
      <w:marTop w:val="0"/>
      <w:marBottom w:val="0"/>
      <w:divBdr>
        <w:top w:val="none" w:sz="0" w:space="0" w:color="auto"/>
        <w:left w:val="none" w:sz="0" w:space="0" w:color="auto"/>
        <w:bottom w:val="none" w:sz="0" w:space="0" w:color="auto"/>
        <w:right w:val="none" w:sz="0" w:space="0" w:color="auto"/>
      </w:divBdr>
      <w:divsChild>
        <w:div w:id="1911846291">
          <w:marLeft w:val="0"/>
          <w:marRight w:val="0"/>
          <w:marTop w:val="0"/>
          <w:marBottom w:val="0"/>
          <w:divBdr>
            <w:top w:val="none" w:sz="0" w:space="0" w:color="auto"/>
            <w:left w:val="none" w:sz="0" w:space="0" w:color="auto"/>
            <w:bottom w:val="none" w:sz="0" w:space="0" w:color="auto"/>
            <w:right w:val="none" w:sz="0" w:space="0" w:color="auto"/>
          </w:divBdr>
          <w:divsChild>
            <w:div w:id="933980277">
              <w:marLeft w:val="0"/>
              <w:marRight w:val="0"/>
              <w:marTop w:val="0"/>
              <w:marBottom w:val="0"/>
              <w:divBdr>
                <w:top w:val="none" w:sz="0" w:space="0" w:color="auto"/>
                <w:left w:val="none" w:sz="0" w:space="0" w:color="auto"/>
                <w:bottom w:val="none" w:sz="0" w:space="0" w:color="auto"/>
                <w:right w:val="none" w:sz="0" w:space="0" w:color="auto"/>
              </w:divBdr>
              <w:divsChild>
                <w:div w:id="845286826">
                  <w:marLeft w:val="0"/>
                  <w:marRight w:val="0"/>
                  <w:marTop w:val="0"/>
                  <w:marBottom w:val="0"/>
                  <w:divBdr>
                    <w:top w:val="none" w:sz="0" w:space="0" w:color="auto"/>
                    <w:left w:val="none" w:sz="0" w:space="0" w:color="auto"/>
                    <w:bottom w:val="none" w:sz="0" w:space="0" w:color="auto"/>
                    <w:right w:val="none" w:sz="0" w:space="0" w:color="auto"/>
                  </w:divBdr>
                  <w:divsChild>
                    <w:div w:id="1490176370">
                      <w:marLeft w:val="0"/>
                      <w:marRight w:val="0"/>
                      <w:marTop w:val="0"/>
                      <w:marBottom w:val="0"/>
                      <w:divBdr>
                        <w:top w:val="none" w:sz="0" w:space="0" w:color="auto"/>
                        <w:left w:val="none" w:sz="0" w:space="0" w:color="auto"/>
                        <w:bottom w:val="none" w:sz="0" w:space="0" w:color="auto"/>
                        <w:right w:val="none" w:sz="0" w:space="0" w:color="auto"/>
                      </w:divBdr>
                      <w:divsChild>
                        <w:div w:id="348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26837">
      <w:bodyDiv w:val="1"/>
      <w:marLeft w:val="0"/>
      <w:marRight w:val="0"/>
      <w:marTop w:val="0"/>
      <w:marBottom w:val="0"/>
      <w:divBdr>
        <w:top w:val="none" w:sz="0" w:space="0" w:color="auto"/>
        <w:left w:val="none" w:sz="0" w:space="0" w:color="auto"/>
        <w:bottom w:val="none" w:sz="0" w:space="0" w:color="auto"/>
        <w:right w:val="none" w:sz="0" w:space="0" w:color="auto"/>
      </w:divBdr>
      <w:divsChild>
        <w:div w:id="365718917">
          <w:marLeft w:val="0"/>
          <w:marRight w:val="0"/>
          <w:marTop w:val="0"/>
          <w:marBottom w:val="0"/>
          <w:divBdr>
            <w:top w:val="none" w:sz="0" w:space="0" w:color="auto"/>
            <w:left w:val="none" w:sz="0" w:space="0" w:color="auto"/>
            <w:bottom w:val="none" w:sz="0" w:space="0" w:color="auto"/>
            <w:right w:val="none" w:sz="0" w:space="0" w:color="auto"/>
          </w:divBdr>
        </w:div>
        <w:div w:id="633952359">
          <w:marLeft w:val="0"/>
          <w:marRight w:val="0"/>
          <w:marTop w:val="0"/>
          <w:marBottom w:val="0"/>
          <w:divBdr>
            <w:top w:val="none" w:sz="0" w:space="0" w:color="auto"/>
            <w:left w:val="none" w:sz="0" w:space="0" w:color="auto"/>
            <w:bottom w:val="none" w:sz="0" w:space="0" w:color="auto"/>
            <w:right w:val="none" w:sz="0" w:space="0" w:color="auto"/>
          </w:divBdr>
        </w:div>
      </w:divsChild>
    </w:div>
    <w:div w:id="1480726966">
      <w:bodyDiv w:val="1"/>
      <w:marLeft w:val="0"/>
      <w:marRight w:val="0"/>
      <w:marTop w:val="0"/>
      <w:marBottom w:val="0"/>
      <w:divBdr>
        <w:top w:val="none" w:sz="0" w:space="0" w:color="auto"/>
        <w:left w:val="none" w:sz="0" w:space="0" w:color="auto"/>
        <w:bottom w:val="none" w:sz="0" w:space="0" w:color="auto"/>
        <w:right w:val="none" w:sz="0" w:space="0" w:color="auto"/>
      </w:divBdr>
    </w:div>
    <w:div w:id="1815026348">
      <w:bodyDiv w:val="1"/>
      <w:marLeft w:val="0"/>
      <w:marRight w:val="0"/>
      <w:marTop w:val="0"/>
      <w:marBottom w:val="0"/>
      <w:divBdr>
        <w:top w:val="none" w:sz="0" w:space="0" w:color="auto"/>
        <w:left w:val="none" w:sz="0" w:space="0" w:color="auto"/>
        <w:bottom w:val="none" w:sz="0" w:space="0" w:color="auto"/>
        <w:right w:val="none" w:sz="0" w:space="0" w:color="auto"/>
      </w:divBdr>
      <w:divsChild>
        <w:div w:id="180439762">
          <w:marLeft w:val="0"/>
          <w:marRight w:val="0"/>
          <w:marTop w:val="0"/>
          <w:marBottom w:val="0"/>
          <w:divBdr>
            <w:top w:val="none" w:sz="0" w:space="0" w:color="auto"/>
            <w:left w:val="none" w:sz="0" w:space="0" w:color="auto"/>
            <w:bottom w:val="none" w:sz="0" w:space="0" w:color="auto"/>
            <w:right w:val="none" w:sz="0" w:space="0" w:color="auto"/>
          </w:divBdr>
          <w:divsChild>
            <w:div w:id="321936736">
              <w:marLeft w:val="0"/>
              <w:marRight w:val="0"/>
              <w:marTop w:val="0"/>
              <w:marBottom w:val="0"/>
              <w:divBdr>
                <w:top w:val="none" w:sz="0" w:space="0" w:color="auto"/>
                <w:left w:val="none" w:sz="0" w:space="0" w:color="auto"/>
                <w:bottom w:val="none" w:sz="0" w:space="0" w:color="auto"/>
                <w:right w:val="none" w:sz="0" w:space="0" w:color="auto"/>
              </w:divBdr>
            </w:div>
            <w:div w:id="535776191">
              <w:marLeft w:val="0"/>
              <w:marRight w:val="0"/>
              <w:marTop w:val="0"/>
              <w:marBottom w:val="0"/>
              <w:divBdr>
                <w:top w:val="none" w:sz="0" w:space="0" w:color="auto"/>
                <w:left w:val="none" w:sz="0" w:space="0" w:color="auto"/>
                <w:bottom w:val="none" w:sz="0" w:space="0" w:color="auto"/>
                <w:right w:val="none" w:sz="0" w:space="0" w:color="auto"/>
              </w:divBdr>
            </w:div>
            <w:div w:id="699670060">
              <w:marLeft w:val="0"/>
              <w:marRight w:val="0"/>
              <w:marTop w:val="0"/>
              <w:marBottom w:val="0"/>
              <w:divBdr>
                <w:top w:val="none" w:sz="0" w:space="0" w:color="auto"/>
                <w:left w:val="none" w:sz="0" w:space="0" w:color="auto"/>
                <w:bottom w:val="none" w:sz="0" w:space="0" w:color="auto"/>
                <w:right w:val="none" w:sz="0" w:space="0" w:color="auto"/>
              </w:divBdr>
            </w:div>
            <w:div w:id="831145112">
              <w:marLeft w:val="0"/>
              <w:marRight w:val="0"/>
              <w:marTop w:val="0"/>
              <w:marBottom w:val="0"/>
              <w:divBdr>
                <w:top w:val="none" w:sz="0" w:space="0" w:color="auto"/>
                <w:left w:val="none" w:sz="0" w:space="0" w:color="auto"/>
                <w:bottom w:val="none" w:sz="0" w:space="0" w:color="auto"/>
                <w:right w:val="none" w:sz="0" w:space="0" w:color="auto"/>
              </w:divBdr>
            </w:div>
            <w:div w:id="1083844392">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1176840693">
              <w:marLeft w:val="0"/>
              <w:marRight w:val="0"/>
              <w:marTop w:val="0"/>
              <w:marBottom w:val="0"/>
              <w:divBdr>
                <w:top w:val="none" w:sz="0" w:space="0" w:color="auto"/>
                <w:left w:val="none" w:sz="0" w:space="0" w:color="auto"/>
                <w:bottom w:val="none" w:sz="0" w:space="0" w:color="auto"/>
                <w:right w:val="none" w:sz="0" w:space="0" w:color="auto"/>
              </w:divBdr>
            </w:div>
            <w:div w:id="1296138000">
              <w:marLeft w:val="0"/>
              <w:marRight w:val="0"/>
              <w:marTop w:val="0"/>
              <w:marBottom w:val="0"/>
              <w:divBdr>
                <w:top w:val="none" w:sz="0" w:space="0" w:color="auto"/>
                <w:left w:val="none" w:sz="0" w:space="0" w:color="auto"/>
                <w:bottom w:val="none" w:sz="0" w:space="0" w:color="auto"/>
                <w:right w:val="none" w:sz="0" w:space="0" w:color="auto"/>
              </w:divBdr>
            </w:div>
            <w:div w:id="1804691952">
              <w:marLeft w:val="0"/>
              <w:marRight w:val="0"/>
              <w:marTop w:val="0"/>
              <w:marBottom w:val="0"/>
              <w:divBdr>
                <w:top w:val="none" w:sz="0" w:space="0" w:color="auto"/>
                <w:left w:val="none" w:sz="0" w:space="0" w:color="auto"/>
                <w:bottom w:val="none" w:sz="0" w:space="0" w:color="auto"/>
                <w:right w:val="none" w:sz="0" w:space="0" w:color="auto"/>
              </w:divBdr>
            </w:div>
            <w:div w:id="1899247902">
              <w:marLeft w:val="0"/>
              <w:marRight w:val="0"/>
              <w:marTop w:val="0"/>
              <w:marBottom w:val="0"/>
              <w:divBdr>
                <w:top w:val="none" w:sz="0" w:space="0" w:color="auto"/>
                <w:left w:val="none" w:sz="0" w:space="0" w:color="auto"/>
                <w:bottom w:val="none" w:sz="0" w:space="0" w:color="auto"/>
                <w:right w:val="none" w:sz="0" w:space="0" w:color="auto"/>
              </w:divBdr>
            </w:div>
            <w:div w:id="207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348">
      <w:bodyDiv w:val="1"/>
      <w:marLeft w:val="0"/>
      <w:marRight w:val="0"/>
      <w:marTop w:val="0"/>
      <w:marBottom w:val="0"/>
      <w:divBdr>
        <w:top w:val="none" w:sz="0" w:space="0" w:color="auto"/>
        <w:left w:val="none" w:sz="0" w:space="0" w:color="auto"/>
        <w:bottom w:val="none" w:sz="0" w:space="0" w:color="auto"/>
        <w:right w:val="none" w:sz="0" w:space="0" w:color="auto"/>
      </w:divBdr>
      <w:divsChild>
        <w:div w:id="100867945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sChild>
            <w:div w:id="137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an.ua/politics/2030079-ukrajina-es-samit-bez-deklaratsiji.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E3F5-E878-497A-89D4-454FF56C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8121</Words>
  <Characters>4629</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NetCracker Technology Ltd.</Company>
  <LinksUpToDate>false</LinksUpToDate>
  <CharactersWithSpaces>12725</CharactersWithSpaces>
  <SharedDoc>false</SharedDoc>
  <HLinks>
    <vt:vector size="6" baseType="variant">
      <vt:variant>
        <vt:i4>7798839</vt:i4>
      </vt:variant>
      <vt:variant>
        <vt:i4>0</vt:i4>
      </vt:variant>
      <vt:variant>
        <vt:i4>0</vt:i4>
      </vt:variant>
      <vt:variant>
        <vt:i4>5</vt:i4>
      </vt:variant>
      <vt:variant>
        <vt:lpwstr>http://ratinggroup.ua/research/ukraine/obschestvenno-politicheskie_nastroeniya_naseleniya_oktyabr_2016.html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2017-07-17T06:51:00Z</cp:lastPrinted>
  <dcterms:created xsi:type="dcterms:W3CDTF">2017-07-17T06:49:00Z</dcterms:created>
  <dcterms:modified xsi:type="dcterms:W3CDTF">2017-07-17T07:00:00Z</dcterms:modified>
</cp:coreProperties>
</file>