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EA" w:rsidRPr="00E1066F" w:rsidRDefault="00D43EEA" w:rsidP="00D43EEA">
      <w:pPr>
        <w:ind w:left="-1701" w:right="-85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591425" cy="1318260"/>
            <wp:effectExtent l="0" t="0" r="9525" b="0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EA" w:rsidRPr="00E1066F" w:rsidRDefault="00D43EEA" w:rsidP="00D43EEA">
      <w:pPr>
        <w:rPr>
          <w:lang w:val="uk-UA"/>
        </w:rPr>
      </w:pPr>
    </w:p>
    <w:p w:rsidR="00D43EEA" w:rsidRPr="00E1066F" w:rsidRDefault="00D43EEA" w:rsidP="00D43EEA">
      <w:pPr>
        <w:spacing w:before="100" w:beforeAutospacing="1" w:after="100" w:afterAutospacing="1"/>
        <w:jc w:val="center"/>
        <w:rPr>
          <w:sz w:val="28"/>
          <w:szCs w:val="28"/>
          <w:lang w:val="uk-UA"/>
        </w:rPr>
      </w:pPr>
      <w:r w:rsidRPr="00E1066F">
        <w:rPr>
          <w:sz w:val="28"/>
          <w:szCs w:val="28"/>
          <w:lang w:val="uk-UA"/>
        </w:rPr>
        <w:t>Круглий стіл</w:t>
      </w:r>
    </w:p>
    <w:p w:rsidR="00D43EEA" w:rsidRPr="00E1066F" w:rsidRDefault="00D43EEA" w:rsidP="00D43EEA">
      <w:pPr>
        <w:pStyle w:val="a8"/>
        <w:spacing w:before="120"/>
        <w:rPr>
          <w:b/>
          <w:i/>
          <w:sz w:val="40"/>
          <w:szCs w:val="40"/>
        </w:rPr>
      </w:pPr>
      <w:r w:rsidRPr="00E1066F">
        <w:rPr>
          <w:b/>
          <w:i/>
          <w:sz w:val="40"/>
          <w:szCs w:val="40"/>
        </w:rPr>
        <w:t>«Вибори на Донеччині</w:t>
      </w:r>
      <w:r w:rsidR="00B55682">
        <w:rPr>
          <w:b/>
          <w:i/>
          <w:sz w:val="40"/>
          <w:szCs w:val="40"/>
          <w:lang w:val="ru-RU"/>
        </w:rPr>
        <w:t xml:space="preserve"> та </w:t>
      </w:r>
      <w:proofErr w:type="spellStart"/>
      <w:r w:rsidR="00B55682">
        <w:rPr>
          <w:b/>
          <w:i/>
          <w:sz w:val="40"/>
          <w:szCs w:val="40"/>
          <w:lang w:val="ru-RU"/>
        </w:rPr>
        <w:t>Луганщині</w:t>
      </w:r>
      <w:proofErr w:type="spellEnd"/>
      <w:r w:rsidRPr="00E1066F">
        <w:rPr>
          <w:b/>
          <w:i/>
          <w:sz w:val="40"/>
          <w:szCs w:val="40"/>
        </w:rPr>
        <w:t xml:space="preserve">: що далі?» </w:t>
      </w:r>
    </w:p>
    <w:p w:rsidR="00D43EEA" w:rsidRPr="00E1066F" w:rsidRDefault="00D43EEA" w:rsidP="00D43EEA">
      <w:pPr>
        <w:spacing w:before="100" w:beforeAutospacing="1" w:after="100" w:afterAutospacing="1"/>
        <w:rPr>
          <w:b/>
          <w:i/>
          <w:sz w:val="28"/>
          <w:szCs w:val="28"/>
          <w:lang w:val="uk-UA"/>
        </w:rPr>
      </w:pPr>
      <w:r w:rsidRPr="00E1066F">
        <w:rPr>
          <w:b/>
          <w:bCs/>
          <w:i/>
          <w:sz w:val="28"/>
          <w:szCs w:val="28"/>
          <w:u w:val="single"/>
          <w:lang w:val="uk-UA"/>
        </w:rPr>
        <w:t>Учасники</w:t>
      </w:r>
      <w:r w:rsidRPr="00E1066F">
        <w:rPr>
          <w:b/>
          <w:bCs/>
          <w:i/>
          <w:sz w:val="28"/>
          <w:szCs w:val="28"/>
          <w:lang w:val="uk-UA"/>
        </w:rPr>
        <w:t>:</w:t>
      </w:r>
    </w:p>
    <w:p w:rsidR="00D43EEA" w:rsidRPr="00E1066F" w:rsidRDefault="00D43EEA" w:rsidP="00D43EEA">
      <w:pPr>
        <w:pStyle w:val="a8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1066F">
        <w:rPr>
          <w:b/>
          <w:bCs/>
          <w:sz w:val="28"/>
          <w:szCs w:val="28"/>
        </w:rPr>
        <w:t xml:space="preserve">Ірина </w:t>
      </w:r>
      <w:proofErr w:type="spellStart"/>
      <w:r w:rsidRPr="00E1066F">
        <w:rPr>
          <w:b/>
          <w:bCs/>
          <w:sz w:val="28"/>
          <w:szCs w:val="28"/>
        </w:rPr>
        <w:t>Бекешкіна</w:t>
      </w:r>
      <w:proofErr w:type="spellEnd"/>
      <w:r w:rsidRPr="00E1066F">
        <w:rPr>
          <w:b/>
          <w:bCs/>
          <w:sz w:val="28"/>
          <w:szCs w:val="28"/>
        </w:rPr>
        <w:t xml:space="preserve"> – </w:t>
      </w:r>
      <w:r w:rsidRPr="00E1066F">
        <w:rPr>
          <w:bCs/>
          <w:sz w:val="28"/>
          <w:szCs w:val="28"/>
        </w:rPr>
        <w:t xml:space="preserve">директор Фонду «Демократичні ініціативи» імені Ілька </w:t>
      </w:r>
      <w:proofErr w:type="spellStart"/>
      <w:r w:rsidRPr="00E1066F">
        <w:rPr>
          <w:bCs/>
          <w:sz w:val="28"/>
          <w:szCs w:val="28"/>
        </w:rPr>
        <w:t>Кучеріва</w:t>
      </w:r>
      <w:proofErr w:type="spellEnd"/>
    </w:p>
    <w:p w:rsidR="00D43EEA" w:rsidRPr="00E1066F" w:rsidRDefault="00D43EEA" w:rsidP="00D43EEA">
      <w:pPr>
        <w:pStyle w:val="a8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1066F">
        <w:rPr>
          <w:b/>
          <w:bCs/>
          <w:sz w:val="28"/>
          <w:szCs w:val="28"/>
        </w:rPr>
        <w:t xml:space="preserve">Олексій </w:t>
      </w:r>
      <w:proofErr w:type="spellStart"/>
      <w:r w:rsidRPr="00E1066F">
        <w:rPr>
          <w:b/>
          <w:bCs/>
          <w:sz w:val="28"/>
          <w:szCs w:val="28"/>
        </w:rPr>
        <w:t>Гарань</w:t>
      </w:r>
      <w:proofErr w:type="spellEnd"/>
      <w:r w:rsidRPr="00E1066F">
        <w:rPr>
          <w:b/>
          <w:bCs/>
          <w:sz w:val="28"/>
          <w:szCs w:val="28"/>
        </w:rPr>
        <w:t xml:space="preserve"> –</w:t>
      </w:r>
      <w:r w:rsidRPr="00E1066F">
        <w:rPr>
          <w:bCs/>
          <w:sz w:val="28"/>
          <w:szCs w:val="28"/>
        </w:rPr>
        <w:t xml:space="preserve"> науковий директор Фонду «Демократичні ініціативи» імені Ілька </w:t>
      </w:r>
      <w:proofErr w:type="spellStart"/>
      <w:r w:rsidRPr="00E1066F">
        <w:rPr>
          <w:bCs/>
          <w:sz w:val="28"/>
          <w:szCs w:val="28"/>
        </w:rPr>
        <w:t>Кучеріва</w:t>
      </w:r>
      <w:proofErr w:type="spellEnd"/>
      <w:r w:rsidRPr="00E1066F">
        <w:rPr>
          <w:bCs/>
          <w:sz w:val="28"/>
          <w:szCs w:val="28"/>
        </w:rPr>
        <w:t xml:space="preserve">, професор політології </w:t>
      </w:r>
      <w:proofErr w:type="spellStart"/>
      <w:r w:rsidRPr="00E1066F">
        <w:rPr>
          <w:bCs/>
          <w:sz w:val="28"/>
          <w:szCs w:val="28"/>
        </w:rPr>
        <w:t>НаУКМА</w:t>
      </w:r>
      <w:proofErr w:type="spellEnd"/>
    </w:p>
    <w:p w:rsidR="00D43EEA" w:rsidRPr="00E1066F" w:rsidRDefault="00D43EEA" w:rsidP="00D43EEA">
      <w:pPr>
        <w:pStyle w:val="a8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1066F">
        <w:rPr>
          <w:b/>
          <w:bCs/>
          <w:sz w:val="28"/>
          <w:szCs w:val="28"/>
        </w:rPr>
        <w:t xml:space="preserve">Марія </w:t>
      </w:r>
      <w:proofErr w:type="spellStart"/>
      <w:r w:rsidRPr="00E1066F">
        <w:rPr>
          <w:b/>
          <w:bCs/>
          <w:sz w:val="28"/>
          <w:szCs w:val="28"/>
        </w:rPr>
        <w:t>Золкіна</w:t>
      </w:r>
      <w:proofErr w:type="spellEnd"/>
      <w:r w:rsidRPr="00E1066F">
        <w:rPr>
          <w:b/>
          <w:bCs/>
          <w:sz w:val="28"/>
          <w:szCs w:val="28"/>
        </w:rPr>
        <w:t xml:space="preserve"> –</w:t>
      </w:r>
      <w:r w:rsidRPr="00E1066F">
        <w:rPr>
          <w:bCs/>
          <w:sz w:val="28"/>
          <w:szCs w:val="28"/>
        </w:rPr>
        <w:t xml:space="preserve"> аналітик Фонду «Демократичні ініціативи» імені Ілька </w:t>
      </w:r>
      <w:proofErr w:type="spellStart"/>
      <w:r w:rsidRPr="00E1066F">
        <w:rPr>
          <w:bCs/>
          <w:sz w:val="28"/>
          <w:szCs w:val="28"/>
        </w:rPr>
        <w:t>Кучеріва</w:t>
      </w:r>
      <w:proofErr w:type="spellEnd"/>
    </w:p>
    <w:p w:rsidR="00D43EEA" w:rsidRPr="00E1066F" w:rsidRDefault="00D43EEA" w:rsidP="00D43EEA">
      <w:pPr>
        <w:pStyle w:val="a8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1066F">
        <w:rPr>
          <w:b/>
          <w:bCs/>
          <w:sz w:val="28"/>
          <w:szCs w:val="28"/>
        </w:rPr>
        <w:t xml:space="preserve">Валентин </w:t>
      </w:r>
      <w:proofErr w:type="spellStart"/>
      <w:r w:rsidRPr="00E1066F">
        <w:rPr>
          <w:b/>
          <w:bCs/>
          <w:sz w:val="28"/>
          <w:szCs w:val="28"/>
        </w:rPr>
        <w:t>Краснопьоров</w:t>
      </w:r>
      <w:proofErr w:type="spellEnd"/>
      <w:r w:rsidRPr="00E1066F">
        <w:rPr>
          <w:bCs/>
          <w:sz w:val="28"/>
          <w:szCs w:val="28"/>
        </w:rPr>
        <w:t xml:space="preserve"> – координатор Громадського руху «Сильні громади Донеччини»</w:t>
      </w:r>
    </w:p>
    <w:p w:rsidR="00D43EEA" w:rsidRPr="00E1066F" w:rsidRDefault="00D43EEA" w:rsidP="00D43EEA">
      <w:pPr>
        <w:pStyle w:val="a8"/>
        <w:jc w:val="both"/>
        <w:rPr>
          <w:b/>
          <w:bCs/>
          <w:sz w:val="28"/>
          <w:szCs w:val="28"/>
        </w:rPr>
      </w:pPr>
    </w:p>
    <w:p w:rsidR="00D43EEA" w:rsidRPr="00E1066F" w:rsidRDefault="00D43EEA" w:rsidP="00D43EEA">
      <w:pPr>
        <w:pStyle w:val="a8"/>
        <w:jc w:val="both"/>
        <w:rPr>
          <w:bCs/>
          <w:sz w:val="28"/>
          <w:szCs w:val="28"/>
        </w:rPr>
      </w:pPr>
      <w:r w:rsidRPr="00E1066F">
        <w:rPr>
          <w:b/>
          <w:bCs/>
          <w:sz w:val="28"/>
          <w:szCs w:val="28"/>
        </w:rPr>
        <w:t xml:space="preserve">Модератор: Олександр </w:t>
      </w:r>
      <w:proofErr w:type="spellStart"/>
      <w:r w:rsidRPr="00E1066F">
        <w:rPr>
          <w:b/>
          <w:bCs/>
          <w:sz w:val="28"/>
          <w:szCs w:val="28"/>
        </w:rPr>
        <w:t>Дмітрієв</w:t>
      </w:r>
      <w:proofErr w:type="spellEnd"/>
      <w:r w:rsidRPr="00E1066F">
        <w:rPr>
          <w:b/>
          <w:bCs/>
          <w:sz w:val="28"/>
          <w:szCs w:val="28"/>
        </w:rPr>
        <w:t xml:space="preserve"> –</w:t>
      </w:r>
      <w:r w:rsidRPr="00E1066F">
        <w:rPr>
          <w:bCs/>
          <w:sz w:val="28"/>
          <w:szCs w:val="28"/>
        </w:rPr>
        <w:t xml:space="preserve"> головний аналітик Громадського руху «Сильні громади Донеччини»</w:t>
      </w:r>
    </w:p>
    <w:p w:rsidR="00D43EEA" w:rsidRPr="00E1066F" w:rsidRDefault="00D43EEA" w:rsidP="00D43EEA">
      <w:pPr>
        <w:pStyle w:val="a8"/>
        <w:ind w:left="360"/>
        <w:jc w:val="both"/>
        <w:rPr>
          <w:bCs/>
          <w:sz w:val="28"/>
          <w:szCs w:val="28"/>
        </w:rPr>
      </w:pPr>
    </w:p>
    <w:p w:rsidR="00D43EEA" w:rsidRPr="00E1066F" w:rsidRDefault="00D43EEA" w:rsidP="00D43EEA">
      <w:pPr>
        <w:rPr>
          <w:sz w:val="28"/>
          <w:szCs w:val="28"/>
          <w:u w:val="single"/>
          <w:lang w:val="uk-UA"/>
        </w:rPr>
      </w:pPr>
      <w:r w:rsidRPr="00E1066F">
        <w:rPr>
          <w:i/>
          <w:sz w:val="28"/>
          <w:szCs w:val="28"/>
          <w:u w:val="single"/>
          <w:lang w:val="uk-UA"/>
        </w:rPr>
        <w:t>Питання до розгляду :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Основні результати виборів: що було очікуваним, а що – несподіванкою? 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Чи можна вважати, що вибори на Донбасі відбулися у конкурентних умовах? Як місцеві громадські діячі оцінюють рівень чесності  виборів загалом? 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Апробація закону про місцеві вибори: як нові правила гри вплинули на виборчий процес на Донеччині? 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Роль місцевих ЗМІ для виборів на Донбасі:  наскільки об’єктивно  вони висвітлювали  змагання учасників виборів?  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Чи зміниться якість  місцевих еліт  на Донбасі після цих виборів? </w:t>
      </w:r>
    </w:p>
    <w:p w:rsidR="00D43EEA" w:rsidRPr="00E1066F" w:rsidRDefault="00D43EEA" w:rsidP="00D43EE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szCs w:val="24"/>
          <w:lang w:val="uk-UA"/>
        </w:rPr>
      </w:pPr>
      <w:r w:rsidRPr="00E1066F">
        <w:rPr>
          <w:szCs w:val="24"/>
          <w:lang w:val="uk-UA"/>
        </w:rPr>
        <w:t xml:space="preserve">Місцева влада і громадськість: як зробити співпрацю ефективною? Пріоритетні завдання для обох сторін. </w:t>
      </w:r>
    </w:p>
    <w:p w:rsidR="00D43EEA" w:rsidRPr="00E1066F" w:rsidRDefault="00D43EEA" w:rsidP="00D43EEA">
      <w:pPr>
        <w:tabs>
          <w:tab w:val="left" w:pos="3570"/>
        </w:tabs>
        <w:rPr>
          <w:lang w:val="uk-UA"/>
        </w:rPr>
      </w:pPr>
    </w:p>
    <w:p w:rsidR="00074B54" w:rsidRDefault="00074B54" w:rsidP="00764A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682" w:rsidRDefault="00B55682" w:rsidP="00764A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682" w:rsidRDefault="00B55682" w:rsidP="00764A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ADA" w:rsidRPr="00BC3D68" w:rsidRDefault="00764ADA" w:rsidP="00764A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«</w:t>
      </w:r>
      <w:r w:rsidRPr="00A9151E">
        <w:rPr>
          <w:rFonts w:ascii="Times New Roman" w:hAnsi="Times New Roman" w:cs="Times New Roman"/>
          <w:b/>
          <w:sz w:val="28"/>
          <w:szCs w:val="28"/>
          <w:lang w:val="uk-UA"/>
        </w:rPr>
        <w:t>Донбас після виборів: думки громадських активістів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C226A" w:rsidRDefault="00764ADA" w:rsidP="00764AD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Експертне опитування представників </w:t>
      </w:r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неурядового сектору, які працюють у Донецькій та Луганській областях, було проведено Фондом «Демократичні ініціативи» імені Ілька </w:t>
      </w:r>
      <w:proofErr w:type="spellStart"/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>Кучеріва</w:t>
      </w:r>
      <w:proofErr w:type="spellEnd"/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період з 11 по  19 листопада 2015 року. В опитуванні взяли участь 49 експертів. </w:t>
      </w:r>
    </w:p>
    <w:p w:rsidR="00B55682" w:rsidRPr="00DF5B69" w:rsidRDefault="00B55682" w:rsidP="00764AD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Дослідження здійснено за фінансової підтримки Міжнародного фонду «Відродження» та Посольства Великої Британії в Україні.</w:t>
      </w:r>
    </w:p>
    <w:p w:rsidR="00D46E15" w:rsidRDefault="005C226A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частина експертів схиляється до того, що </w:t>
      </w:r>
      <w:r w:rsidR="00D46E15">
        <w:rPr>
          <w:rFonts w:ascii="Times New Roman" w:hAnsi="Times New Roman" w:cs="Times New Roman"/>
          <w:sz w:val="28"/>
          <w:szCs w:val="28"/>
          <w:lang w:val="uk-UA"/>
        </w:rPr>
        <w:t xml:space="preserve">місцеві вибори на Донбасі у 2015 р. відповідали загальним демократичним стандартам. 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Втім, третина опитаних експертів  з цим не погоджу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ться і вважа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, що демократичні стандарт</w:t>
      </w:r>
      <w:r w:rsidR="00C400AD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 xml:space="preserve"> не були дотримані на останніх виборах місцевої влади на Донеччині і Луганщині.</w:t>
      </w:r>
    </w:p>
    <w:p w:rsidR="00D46E15" w:rsidRPr="00441543" w:rsidRDefault="00685E60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543">
        <w:rPr>
          <w:rFonts w:ascii="Times New Roman" w:hAnsi="Times New Roman" w:cs="Times New Roman"/>
          <w:sz w:val="28"/>
          <w:szCs w:val="28"/>
          <w:lang w:val="uk-UA"/>
        </w:rPr>
        <w:t>Різн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 виборчого процесу експерти загалом оцінюють на середньому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деякі дещо нижче середнього, деякі – дещо вище.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E15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Так,  за 5-бальною шкалою, де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«1»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вкрай негативна оцінка,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а «5» 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о позитивна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, ведення партіями і кандидатами виборчих кампаній експерти оцінюють 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 на 2,49 бала, конкуренцію та змагальність між кандидатами – на 2,5, формування виборчих комісій – на 2,65,  </w:t>
      </w:r>
      <w:r w:rsidR="00D46E15" w:rsidRPr="00441543">
        <w:rPr>
          <w:rFonts w:ascii="Times New Roman" w:hAnsi="Times New Roman" w:cs="Times New Roman"/>
          <w:sz w:val="28"/>
          <w:szCs w:val="28"/>
          <w:lang w:val="uk-UA"/>
        </w:rPr>
        <w:t>нове виборче законодавство щодо місцевих виборів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– на 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>2,69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>, укладення парт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>ійних списків  і висування кандидатів – на 2,82, свободу доступу кандидатів до ЗМІ – на 2,9, чесність підрахунку голосів – на 3,01, діяльність виборчих комісій у день голосування – на 3,15 і організацію голосування в день виборів – на 3,23 бал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5E60" w:rsidRDefault="00685E60" w:rsidP="00685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експертів вважає, що під час ведення передвиборчої агітації та кампанії  кандидати та політичні партії недостатньо приділяли увагу  важливим для Донеччини і Луганщини проблемам.  </w:t>
      </w:r>
    </w:p>
    <w:p w:rsidR="00D46E15" w:rsidRDefault="008A2007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думку більшості опитаних, м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ісцеві засоби масової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>висвітлювали вибор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>чу кампанію на Донбасі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</w:t>
      </w:r>
      <w:proofErr w:type="spellStart"/>
      <w:r w:rsidRPr="008A2007">
        <w:rPr>
          <w:rFonts w:ascii="Times New Roman" w:hAnsi="Times New Roman" w:cs="Times New Roman"/>
          <w:sz w:val="28"/>
          <w:szCs w:val="28"/>
          <w:lang w:val="uk-UA"/>
        </w:rPr>
        <w:t>необ’єктивно</w:t>
      </w:r>
      <w:proofErr w:type="spellEnd"/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і упереджено, хоча пе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вні винятки були. Лише один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85E60" w:rsidRPr="00DF5B69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експертів зазначив, що майже всі місцеві ЗМІ  цілком дотримувалися принципу об’єктивності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незаангажованості у своїй роботі під час виборчих перегонів. </w:t>
      </w:r>
    </w:p>
    <w:p w:rsidR="008A2007" w:rsidRDefault="008A2007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Окремі порушення на деяких виборчих дільницях мали місце, втім на остаточний результат голосування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істотно не вплинуло – так переважна частина оцінює  чесніть місцевих виборів на Донбасі.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Втім, деякі експерти (15) вказують і на наявність  системних порушень, які суттєво вплинули на отримані у цих округах результати.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6BA5" w:rsidRPr="00685E60" w:rsidRDefault="008A2007" w:rsidP="00685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Експертна думка щодо того, як саме новий виборчий закон вплину</w:t>
      </w:r>
      <w:r w:rsidR="007B6BA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виборчий процес на Донбасі, розділилася рівноцінно на тих, хто розглядає цей  вплив як позитивний, і тих, хто  вважає його негативним.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Основні аргументи на користь позитивного впливу закону – це 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>певне оновлення скл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аду місцевих рад, а також заміна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мажоритарної складової новою формулою з певними елемен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тами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відкритості.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Найбільш поширене пояснення негативного впливу закону – це його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складність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і малозрозумілість д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>ля в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сіх ключових учасників процес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від виборців до кандидатів і членів виборчих комісій. </w:t>
      </w:r>
    </w:p>
    <w:p w:rsidR="00582469" w:rsidRPr="007B6BA5" w:rsidRDefault="00582469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BA5">
        <w:rPr>
          <w:rFonts w:ascii="Times New Roman" w:hAnsi="Times New Roman" w:cs="Times New Roman"/>
          <w:sz w:val="28"/>
          <w:szCs w:val="28"/>
          <w:lang w:val="uk-UA"/>
        </w:rPr>
        <w:t>Основними позитивними відмінностями ни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нішніх  місцевих виборів</w:t>
      </w:r>
      <w:r w:rsidRPr="007B6BA5">
        <w:rPr>
          <w:rFonts w:ascii="Times New Roman" w:hAnsi="Times New Roman" w:cs="Times New Roman"/>
          <w:sz w:val="28"/>
          <w:szCs w:val="28"/>
          <w:lang w:val="uk-UA"/>
        </w:rPr>
        <w:t xml:space="preserve"> у Донецькій і Луганській областях від попередніх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виборів  експерти вважають </w:t>
      </w:r>
      <w:r w:rsidRPr="007B6BA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змагальності і посилення конкуренції між кандидатами і партіями;  відчутно менший обсяг фальсифікацій, відвертого підкупу і, відповідно, вищий рівень прозорості процесу; відсутність монополії в регіоні у будь-якої з політичних сил; менше використання адміністративного ресурсу. </w:t>
      </w:r>
    </w:p>
    <w:p w:rsidR="00582469" w:rsidRDefault="00582469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тих відмінностей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, які, на думку експертів, мають негативний характер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  згадувалася низька якість організації виборчого процесу як такого, некомпетентність чл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енів виборчих комісій; політична апатія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, розгубленість і відсутність інтересу до виборів з боку місцевого населення, особливо – молоді;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використання як старих форм і методів фальсифікацій, так і нови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х; обмежені можливості для </w:t>
      </w:r>
      <w:proofErr w:type="spellStart"/>
      <w:r w:rsidR="00685E60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висування</w:t>
      </w:r>
      <w:proofErr w:type="spellEnd"/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, необхідність приналежності до політичної партії. </w:t>
      </w:r>
    </w:p>
    <w:p w:rsidR="005C226A" w:rsidRDefault="00401A55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Немає однозначних очікувань експертів щодо 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того, як  результати </w:t>
      </w:r>
      <w:r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виборів 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>вплинуть на  склад місцевої політичної еліти. Так, на позитивний вплив очікують 18 експертів,  15  не мають сподівань, що склад  місцевої еліти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A68" w:rsidRPr="009F7F88">
        <w:rPr>
          <w:rFonts w:ascii="Times New Roman" w:hAnsi="Times New Roman" w:cs="Times New Roman"/>
          <w:sz w:val="28"/>
          <w:szCs w:val="28"/>
          <w:lang w:val="uk-UA"/>
        </w:rPr>
        <w:t>якісно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 зміниться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 і стільки ж взагалі не можуть дати жодних конкретних оцінок цим перспективам.   </w:t>
      </w:r>
    </w:p>
    <w:p w:rsidR="000933B8" w:rsidRDefault="000933B8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Вибори в Маріуполі, Красноармійську і Сватовому не відбулися 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винятково політичні причини: намагання досягти домовленостей між чинною і попередньою владою, різними фінансово-промисловими і політичними групами з метою розділити сфери політичного впливу в регіоні. Другою за поширеністю причиною проблем із виборами у цих містах називають бажання представників колишньої Партії регіонів залишитися на Донбасі при владі. </w:t>
      </w:r>
    </w:p>
    <w:p w:rsidR="000933B8" w:rsidRDefault="008C5D0E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Абсолютна більшість опитаних представників НУО мають досвід співпраці з органами місцевого самоврядування задля вирішення проблем місцевого значення. Так, 20 експертів зазначили, що співпраця з владою для них – це постійна і перманентна практика, а ще 24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вказали на наявність такої співпраці, але на ситуативній основі, час від часу. </w:t>
      </w:r>
    </w:p>
    <w:p w:rsidR="006D7D56" w:rsidRPr="00186F3A" w:rsidRDefault="00186F3A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6F3A">
        <w:rPr>
          <w:rFonts w:ascii="Times New Roman" w:hAnsi="Times New Roman" w:cs="Times New Roman"/>
          <w:sz w:val="28"/>
          <w:szCs w:val="28"/>
          <w:lang w:val="uk-UA"/>
        </w:rPr>
        <w:t>Оцінки ефективності такої співпраці розійшлися: половина експертів не задоволена продуктивністю такої співпраці, але 18 представників неурядових організацій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6F3A"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6F3A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задоволені.  </w:t>
      </w:r>
    </w:p>
    <w:p w:rsidR="00634676" w:rsidRPr="00634676" w:rsidRDefault="00186F3A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0B1FD3">
        <w:rPr>
          <w:rFonts w:ascii="Times New Roman" w:hAnsi="Times New Roman" w:cs="Times New Roman"/>
          <w:sz w:val="28"/>
          <w:szCs w:val="28"/>
          <w:lang w:val="uk-UA"/>
        </w:rPr>
        <w:t>Налагодженню ефективної кооперації між органами місцевого самоврядування та неурядовим сектором  заважає, на думку громадських активістів, небажання влади враховувати думку громадських організацій, брак прозорості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корупційна складова у діях влади, а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ож недостатній рівень кваліфікації представників влади, формалізм і </w:t>
      </w:r>
      <w:proofErr w:type="spellStart"/>
      <w:r w:rsidRPr="000B1FD3">
        <w:rPr>
          <w:rFonts w:ascii="Times New Roman" w:hAnsi="Times New Roman" w:cs="Times New Roman"/>
          <w:sz w:val="28"/>
          <w:szCs w:val="28"/>
          <w:lang w:val="uk-UA"/>
        </w:rPr>
        <w:t>забюрократизованість</w:t>
      </w:r>
      <w:proofErr w:type="spellEnd"/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 системи, пасивність органів місцевого самоврядування в принципі. </w:t>
      </w:r>
    </w:p>
    <w:p w:rsidR="00186F3A" w:rsidRPr="00634317" w:rsidRDefault="000B1FD3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63467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86F3A"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ри цьому </w:t>
      </w:r>
      <w:r w:rsidRPr="00634676">
        <w:rPr>
          <w:rFonts w:ascii="Times New Roman" w:hAnsi="Times New Roman" w:cs="Times New Roman"/>
          <w:sz w:val="28"/>
          <w:szCs w:val="28"/>
          <w:lang w:val="uk-UA"/>
        </w:rPr>
        <w:t>на покращення  умов для відповідної співпрац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і після місцевих виборів  очікують тільки 15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 опитаних громадських 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>діячів. Стільки ж  вважають, що нічого у співпраці між органами місцевого самоврядування і третім сектором не зміниться. Частина експертів (9) взагалі вважає, що співпрацювати з в</w:t>
      </w:r>
      <w:r w:rsidR="00634676">
        <w:rPr>
          <w:rFonts w:ascii="Times New Roman" w:hAnsi="Times New Roman" w:cs="Times New Roman"/>
          <w:sz w:val="28"/>
          <w:szCs w:val="28"/>
          <w:lang w:val="uk-UA"/>
        </w:rPr>
        <w:t xml:space="preserve">ладою на місцях стане складніше, і стільки ж респондентів поки не визначилися зі своїми оцінками. </w:t>
      </w:r>
    </w:p>
    <w:p w:rsidR="00634317" w:rsidRPr="00634317" w:rsidRDefault="00D64B03" w:rsidP="0063431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>, хто має наді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 xml:space="preserve"> на покращення умов взаємодії та партнерства з владою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 xml:space="preserve">  пояснюють свій оптимізм тим, що загальний тиск громадськості на владу надалі тільки зростатиме, що місцева еліта прагнутиме втриматися при владі, а відтак буде змушена маневрувати і робити певні кроки назустріч громадськості. </w:t>
      </w:r>
    </w:p>
    <w:p w:rsidR="00634317" w:rsidRPr="00E7780E" w:rsidRDefault="00634317" w:rsidP="0063431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основі песимізму  тих, хто жодних змін не очікує або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готується до погіршення умов співпраці з владою,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лежить 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достатнього оновлення  місцевих еліт, переобрання представників колишньої влади на посади мерів і депутатів. </w:t>
      </w: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0321A2" w:rsidRDefault="000321A2" w:rsidP="00E77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7780E" w:rsidRPr="00E7780E" w:rsidRDefault="00E7780E" w:rsidP="00E77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опитування </w:t>
      </w:r>
    </w:p>
    <w:p w:rsidR="00E7780E" w:rsidRPr="00BC3D68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D68">
        <w:rPr>
          <w:rFonts w:ascii="Times New Roman" w:hAnsi="Times New Roman" w:cs="Times New Roman"/>
          <w:b/>
          <w:sz w:val="28"/>
          <w:szCs w:val="28"/>
          <w:lang w:val="uk-UA"/>
        </w:rPr>
        <w:t>На Вашу думку, чи відповідали місцеві вибори 25 жовтня в Донецькій та Луганській областях демократичним стандартам?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повністю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так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ні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ні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E7780E" w:rsidRPr="00BC3D68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3D68">
        <w:rPr>
          <w:rFonts w:ascii="Times New Roman" w:hAnsi="Times New Roman" w:cs="Times New Roman"/>
          <w:sz w:val="28"/>
          <w:szCs w:val="28"/>
          <w:lang w:val="uk-UA"/>
        </w:rPr>
        <w:t>1 експерт не надав відповіді на це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BC3D68">
        <w:rPr>
          <w:rFonts w:ascii="Times New Roman" w:hAnsi="Times New Roman" w:cs="Times New Roman"/>
          <w:sz w:val="28"/>
          <w:szCs w:val="28"/>
          <w:lang w:val="uk-UA"/>
        </w:rPr>
        <w:t>питання</w:t>
      </w:r>
    </w:p>
    <w:p w:rsidR="00E7780E" w:rsidRPr="00BC3D68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E6235D" w:rsidRDefault="00E7780E" w:rsidP="00E778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C3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 би Ви оцінили такі складові місцевих </w:t>
      </w:r>
      <w:r w:rsidRPr="00E623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виборів (за 5-бальною шкалою, де «1» – дуже погано, «5» – дуже добре)?</w:t>
      </w:r>
    </w:p>
    <w:p w:rsidR="00E7780E" w:rsidRPr="00BC3D68" w:rsidRDefault="00E7780E" w:rsidP="00E77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709"/>
        <w:gridCol w:w="567"/>
        <w:gridCol w:w="567"/>
        <w:gridCol w:w="567"/>
        <w:gridCol w:w="1276"/>
      </w:tblGrid>
      <w:tr w:rsidR="00E7780E" w:rsidRPr="00BC3D68" w:rsidTr="00DE5666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Середня оцінка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Законодавство щодо місцевих виборів</w:t>
            </w:r>
            <w:r w:rsidRPr="000A1985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1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pStyle w:val="1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25A58">
              <w:rPr>
                <w:b/>
                <w:sz w:val="28"/>
                <w:szCs w:val="28"/>
                <w:lang w:val="uk-UA"/>
              </w:rPr>
              <w:t>2,69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виборчих комісій</w:t>
            </w:r>
            <w:r w:rsidRPr="000A1985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2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pStyle w:val="1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2,65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Укладення партійних списків і висування кандидатів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2,82</w:t>
            </w:r>
          </w:p>
          <w:p w:rsidR="00E7780E" w:rsidRPr="000A1985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Ведення партіями і кандидатами виборчої кампанії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2,49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Реальна конкуренція і змагальність кандидатів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3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Свобода доступу кандидатів до ЗМІ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4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голосування у день виборів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5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3,23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Діяльність виборчих комісій у день виборів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6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C7C56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7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3,15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Чесність підрахунків голосів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7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C7C56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7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3,01</w:t>
            </w:r>
          </w:p>
        </w:tc>
      </w:tr>
    </w:tbl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Pr="00796B8A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 Вашу думку, чи достатньо уваги у своїй передвибор</w:t>
      </w:r>
      <w:r w:rsidR="00D64B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t>ій агітації партії та кандидати приділяли важливим проблемам регіону?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партії та кандидати приділяли достатньо уваги важливим проблемам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Партії та кандидати приділяли певну увагу цим проблемам, але недостатньо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Партії та кандидати практично не приділяли ніякої уваги важливим проблемам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796B8A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t>Як Ви вважаєте, чи об'єктивно висвітлювали виборчу кампанію місцеві ЗМІ?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майже усі місцеві ЗМІ висвітлювали кампанію об’єктивно і неупереджено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64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Винятки, звичайно, були, але в основному місцеві ЗМІ були об’єктивні </w:t>
            </w:r>
            <w:r w:rsidR="00D64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неупереджені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основному місцеві ЗМІ висвітлювали виборчу кампанію </w:t>
            </w:r>
            <w:proofErr w:type="spellStart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необ’єктивно</w:t>
            </w:r>
            <w:proofErr w:type="spellEnd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були й винятки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Фактично всі місцеві ЗМІ вели себе </w:t>
            </w:r>
            <w:proofErr w:type="spellStart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необ’єктивно</w:t>
            </w:r>
            <w:proofErr w:type="spellEnd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упереджено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666" w:rsidTr="00DE5666">
        <w:tc>
          <w:tcPr>
            <w:tcW w:w="6912" w:type="dxa"/>
          </w:tcPr>
          <w:p w:rsidR="00DE5666" w:rsidRPr="00796B8A" w:rsidRDefault="00DE5666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 </w:t>
            </w:r>
          </w:p>
        </w:tc>
        <w:tc>
          <w:tcPr>
            <w:tcW w:w="2659" w:type="dxa"/>
          </w:tcPr>
          <w:p w:rsidR="00DE5666" w:rsidRDefault="00DE5666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6336D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36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Ви вважаєте, чи були місцеві вибори чесними?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вибори пройшли цілком чесно, без підтасувань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 окремі порушення на окремих виборчих дільницях, що істотно не вплинуло на кінцеві результати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 істотні системні порушення в окремих округах, які вплинули на отримані у цих округах результати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Істотні системні порушення, які викривили волю виборців, були по всьому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4B03" w:rsidRPr="0086336D" w:rsidRDefault="00D64B03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3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Яким, на Вашу думку, був вплив нового законодавства про місцеві вибори, на виборчий процес у Донецькій і Луганській областях?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Цілком позитивним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позитивним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негативним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негативним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E5666" w:rsidTr="00DE5666">
        <w:tc>
          <w:tcPr>
            <w:tcW w:w="6912" w:type="dxa"/>
          </w:tcPr>
          <w:p w:rsidR="00DE5666" w:rsidRDefault="00DE5666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DE5666" w:rsidRDefault="00DE5666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D64B03" w:rsidRDefault="00DE5666" w:rsidP="00E7780E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B03">
        <w:rPr>
          <w:rFonts w:ascii="Times New Roman" w:hAnsi="Times New Roman" w:cs="Times New Roman"/>
          <w:b/>
          <w:sz w:val="28"/>
          <w:szCs w:val="28"/>
          <w:lang w:val="uk-UA"/>
        </w:rPr>
        <w:t>Поясніть свою думку</w:t>
      </w:r>
      <w:r w:rsidR="00E7780E" w:rsidRPr="00D64B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62C5" w:rsidRP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62C5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позитивного впливу закону на виборчий процес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Певне оновлення депутатського корпусу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262C5" w:rsidRPr="00002CCE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Скасування мажоритарної складової – </w:t>
            </w:r>
            <w:proofErr w:type="spellStart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конкурентність</w:t>
            </w:r>
            <w:proofErr w:type="spellEnd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краща якість списків. Елементи відкритості списків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rPr>
          <w:trHeight w:val="6012"/>
        </w:trPr>
        <w:tc>
          <w:tcPr>
            <w:tcW w:w="6912" w:type="dxa"/>
          </w:tcPr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вимог до професійності учасників процесу, включаючи  членів комісії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Руйнація монополії однієї політичної сили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робити вибір на основі двох факторів  – партійної приналежності  та персони кандидата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 відповідальності обраних осіб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впливу держави на волевиявлення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Призупинення сепаратис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тс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ьких настроїв та дій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E5666" w:rsidRDefault="00DE5666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P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62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негативного </w:t>
      </w:r>
      <w:r w:rsidRPr="001262C5">
        <w:rPr>
          <w:rFonts w:ascii="Times New Roman" w:hAnsi="Times New Roman" w:cs="Times New Roman"/>
          <w:sz w:val="28"/>
          <w:szCs w:val="28"/>
          <w:lang w:val="uk-UA"/>
        </w:rPr>
        <w:t xml:space="preserve">впливу закону на виборчий процес </w:t>
      </w:r>
    </w:p>
    <w:p w:rsidR="001262C5" w:rsidRDefault="001262C5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CF0C0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</w:t>
            </w:r>
            <w:proofErr w:type="spellStart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заскладний</w:t>
            </w:r>
            <w:proofErr w:type="spellEnd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незрозумілий для виборц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висуванців та членів комісій,  особливо в частині визначення складу рад,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інтерес виборців до виборів як таких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мажоритарної складової для певних рівнів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використання адмінресурсу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Непрозорий механізм формування  списків кандидатів, використання «старих» схем, політичні домовленості між різними політсилами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Позбавлення  переселенців  можливості проголосувати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rPr>
          <w:trHeight w:val="5476"/>
        </w:trPr>
        <w:tc>
          <w:tcPr>
            <w:tcW w:w="6912" w:type="dxa"/>
          </w:tcPr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вирішена проблема підкупу виборців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Партійність кандидатів  визначали вибір виборця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Чинна влада фактично легітимізувала представників Партії регіонів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просвітницької роботи з молоддю і її мотивації до залучення у виборчий процес у різних сенсах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тлумачення норм закону ЦВК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Непрозорість та залежність ЗМІ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реальних відкритих списків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Неврегульованість питання про проведення виборів у тих містах і районах, де вибори не відбулися, як і повноваження мерів і депутатів у таких населених пунктах, одиницях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 прифронтових районах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попри відсутність виборів у більшості округів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все одно проводились вибори повного складу  районних рад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Організаційна непідготовленість  проукраїнських партій до участі у виборах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не ліквідував значення такого фактору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фінансові ресурси кандидатів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Зрив виборів у Красноармійську внаслідок істотних і численних порушень</w:t>
            </w:r>
          </w:p>
          <w:p w:rsidR="001262C5" w:rsidRPr="001262C5" w:rsidRDefault="001262C5" w:rsidP="00DE566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1262C5" w:rsidRDefault="001262C5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666" w:rsidRPr="0086336D" w:rsidRDefault="00DE5666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D43EEA" w:rsidRDefault="00D43EEA" w:rsidP="00D43E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="00E7780E" w:rsidRPr="00D4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Вашу думку, чим нинішні місцеві вибори в Донецькій і Луганській областях відрізнялися від попередніх? </w:t>
      </w:r>
      <w:r w:rsidR="00E7780E" w:rsidRPr="00D43EEA">
        <w:rPr>
          <w:rFonts w:ascii="Times New Roman" w:hAnsi="Times New Roman" w:cs="Times New Roman"/>
          <w:i/>
          <w:sz w:val="28"/>
          <w:szCs w:val="28"/>
          <w:lang w:val="uk-UA"/>
        </w:rPr>
        <w:t>Вкажіть три основні відмінності та позначте їх знаком «+» - відмінність у позитивний бік, «–» - у негативний, «+–» - є і плюси, й мінуси.</w:t>
      </w:r>
    </w:p>
    <w:p w:rsidR="00E7780E" w:rsidRPr="00B566B9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Відмінності в позитивний бік («+»)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конкурентності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змагальності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Менший рівень фальсифікацій, відвертого підкупу,  вищий рівень прозорості 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монополії будь-якої політичної сили, руйнування політичної монополії в місцевій владі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Менше застосування адміністративного і силового ресурс у з боку чинної влади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Кращі шанси у простих громадян бути обраними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Аналог відкритих списків, кандидати були відомі під час кампанії, ранжування кандидатів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залежно від їх результату в округах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та економічний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чинники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вже не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відігравали 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такої ролі, як раніше 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Більша свобода ЗМІ, більш вільний доступ кандидатів до ЗМІ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депутатського корпусу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Поява нових партій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Активізація патріотичних 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політиці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rPr>
          <w:trHeight w:val="1880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громадянської активн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та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вимогливості  громадян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Стали очевидними маніпуляції і брехня з боку провладної сили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Відмова від мажоритарної складової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 відповідальна робота ТВК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активність громадських організацій з приводу висвітлення виборчого процесу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активність люмпенізованого електорату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B566B9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Відмінності в негативний бік («-»)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Низька якість організації виборчого процесу, непрофесійність роботи виборчих комісій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Апатія, невизначеність  місцевого населення, особливо молоді, недовіра до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звичних форм фальсифікацій у поєднанні з новими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Необхідність приналежності до партії, неможливість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самовисування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виборах до міськрад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можливості  проголосувати переселенцям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«Оновлена» чинна влада на місцях підігрувала представникам колишньої влади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«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регіоналам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Переобрання представників колишньої влади, що  були задіяні у сепаратизмі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рівень поінформованості суспільства щодо виборчого процесу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Стислі терміни кампанії, недостатньо часу для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Місцеві ЗМІ працювали на конкретні політичні сили і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rPr>
          <w:trHeight w:val="698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 технічних проектів «під вибори»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Менша мотивація населення брати участь у виборах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 війни – вибори віді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шли на задній план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Широке використання підкупу виборців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орієнтувалися не на патріотичний електорат в першу чергу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 значного фінансового ресурсу у неолігархічних партій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захисту і контролю за процесом підрахунку голосів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«Псевдодемократична» система не стал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демократичною.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виборів до обласних рад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Недостатній рівень патріотизму  серед місцевого населення на Донбасі, відсутність інформації навіть на дільницях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Складний і незрозумілий для населення новий виборчий закон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Поляризація поглядів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активність «нових» для регіону партій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Зрив виборів у Красноармійську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«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тітушок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Позиція ЦВК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Програш патріотично налаштованих кандидатів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Деякі округи лишилися без обраних депутатів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Нерозуміння владою проблем и потреб населення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Pr="00AB08B7" w:rsidRDefault="00E7780E" w:rsidP="00AB0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08B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Порівняно з попередніми виборами  мали місце як плюси, так і мінуси («+/-»)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Кількісний склад рад прив’язаний до кількості населення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Влада почала реагувати на думку громади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6235D" w:rsidRDefault="00E6235D" w:rsidP="00E6235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6336D" w:rsidRDefault="00E7780E" w:rsidP="00E6235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6B9">
        <w:rPr>
          <w:rFonts w:ascii="Times New Roman" w:hAnsi="Times New Roman" w:cs="Times New Roman"/>
          <w:sz w:val="28"/>
          <w:szCs w:val="28"/>
          <w:lang w:val="uk-UA"/>
        </w:rPr>
        <w:t xml:space="preserve">Істотних відмінностей між виборами 2015 р. і виборами 2010 р. немає – 4 експерти. </w:t>
      </w:r>
      <w:r w:rsidR="00AB08B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7780E" w:rsidRPr="008739BD" w:rsidRDefault="00E7780E" w:rsidP="00AB08B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Як Ви вважаєте, як результати місцевих виборів 2015 року вплинуть на якісний склад місцевої політичної еліти у Донецькій і Луганській областях?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Цілком позитивно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позитивно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негативно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негативно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967E1" w:rsidTr="00DE5666">
        <w:tc>
          <w:tcPr>
            <w:tcW w:w="6912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AB08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7780E" w:rsidP="00AB08B7">
      <w:pPr>
        <w:pStyle w:val="a3"/>
        <w:numPr>
          <w:ilvl w:val="0"/>
          <w:numId w:val="3"/>
        </w:numPr>
        <w:ind w:left="0" w:firstLine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Вашу думку, </w:t>
      </w:r>
      <w:r w:rsidR="00AB0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>що стало головними причинами проблем із проведенням виборів у низці міст Донецької та Луганської областей (Маріуполь, Красноармійськ, Сватове)?</w:t>
      </w:r>
    </w:p>
    <w:p w:rsidR="00AB08B7" w:rsidRPr="00E967E1" w:rsidRDefault="00AB08B7" w:rsidP="00AB08B7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7780E" w:rsidRPr="00B566B9" w:rsidTr="00AB08B7">
        <w:tc>
          <w:tcPr>
            <w:tcW w:w="7338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Винятково політичні причини,</w:t>
            </w:r>
            <w:r w:rsidR="00AB0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домовленості нинішньої і колишньої влади, різних фінансово-промислових груп,  розподіл сфер політичного впливу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«регіоналів» лишитися при владі в регіоні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RPr="00B566B9" w:rsidTr="00AB08B7">
        <w:trPr>
          <w:trHeight w:val="505"/>
        </w:trPr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Переважно незмінний склад виборчих комісій, їх заангажованість, порушення ними норм виборчого законодавства 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Слабка робота проукраїнських сил, відсутність стратегії  і організованості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покарання за фальсифікації на минулих виборах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 чинної влади, що будуть переобрані представники колишньої Партії регіонів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намірів чинної влади викорінити старі корупційні схеми і сприяти демократизації Донбасу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Незрозумілість і недолугість  нового виборчого закону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Саботаж місцевих еліт  та спроби фальсифікацій і порушень законодавства 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854FC" w:rsidRPr="00AB08B7" w:rsidTr="00AB08B7">
        <w:tc>
          <w:tcPr>
            <w:tcW w:w="7338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Політична ситуація і зневіра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54FC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організовано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учасників виборчого процесу.</w:t>
            </w:r>
          </w:p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ЦВК  не стала арбітром, а навпаки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підігрувала інтересам однієї партії - Опозиційного Блоку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E854FC" w:rsidRPr="00B566B9" w:rsidRDefault="00E854FC" w:rsidP="00CC4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854FC" w:rsidRPr="00B566B9" w:rsidRDefault="00E854FC" w:rsidP="00CC4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54FC" w:rsidRPr="00B566B9" w:rsidTr="00AB08B7">
        <w:tc>
          <w:tcPr>
            <w:tcW w:w="7338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Важко відповісти </w:t>
            </w:r>
          </w:p>
        </w:tc>
        <w:tc>
          <w:tcPr>
            <w:tcW w:w="2233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739BD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Чи маєте Ви або Ваша організація досвід співпраці з органами місцевого самоврядування з вирішення проблем місцевого значення?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ми регулярно співпрацюємо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співпрацюємо час від часу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ми зовсім не співпрацюємо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влада заважає нашій роботі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967E1" w:rsidRDefault="00E967E1" w:rsidP="00DF5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E96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Pr="008739BD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739BD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Чи задоволені Ви ефективністю Вашої співпраці (чи Вашої організації) з органами місцевого самоврядування?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повністю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F5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854FC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7780E" w:rsidRPr="00D212B3">
        <w:rPr>
          <w:rFonts w:ascii="Times New Roman" w:hAnsi="Times New Roman" w:cs="Times New Roman"/>
          <w:b/>
          <w:sz w:val="28"/>
          <w:szCs w:val="28"/>
          <w:lang w:val="uk-UA"/>
        </w:rPr>
        <w:t>У чому полягають головні перешкоди для ефективної співпраці Вас чи Вашої організації з органами місцевого самоврядування?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Небажання влади враховувати думку  громадської організації/діяча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прозорості у діях влади, корупційна складова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Недостатній кваліфікаційний рівень посадових осіб, формалізм та пасивність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E85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Законодавче обмеження можливостей громадських організацій  впливати  </w:t>
            </w:r>
            <w:r w:rsidR="00E85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владу, наділення їх правом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рекомендаційного та дорадчого голосу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Влада не сприймає громадськість як рівноцінного партнера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Особистісний фактор, персональні амбіції і порушення домовленостей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влади працювати зі «своїми» НУО, які вони створюють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Відмінності у ставленні до Української держави, наявність сепаратистів у лавах представників влади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rPr>
          <w:trHeight w:val="2954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пропозицій з боку влади і запрошень громадських активістів на роботи у владі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фінансових ресурсів у громадської організації,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демотивація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співпраці з нею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Небажання  вищого керівництва області співпрацювати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Недостатній рівень професіоналізму  самих НУО, брак фахівців, які  були би ефективними у діалозі з владою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Брак часу у представників влади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Брак коштів  та інших ресурсів у місцевої влади, аби вирішувати нагальні проблеми громади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необхідної підтримки з боку місцевих мешканців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нашої організації проблем у співпраці з органами влади немає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E85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854FC" w:rsidP="00B77B6E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7780E" w:rsidRPr="00D212B3">
        <w:rPr>
          <w:rFonts w:ascii="Times New Roman" w:hAnsi="Times New Roman" w:cs="Times New Roman"/>
          <w:b/>
          <w:sz w:val="28"/>
          <w:szCs w:val="28"/>
          <w:lang w:val="uk-UA"/>
        </w:rPr>
        <w:t>На Вашу думку, чи покращаться умови співпраці громадськості з органами місцевого самоврядування після місцевих виборів?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безумовно, покращаться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Скоріше, покращаться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зміняться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Скоріше, погіршаться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безумовно, погіршаться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967E1" w:rsidTr="00DE5666">
        <w:tc>
          <w:tcPr>
            <w:tcW w:w="6912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B08B7" w:rsidRPr="00E967E1" w:rsidRDefault="00AB08B7" w:rsidP="00E967E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2EC">
        <w:rPr>
          <w:rFonts w:ascii="Times New Roman" w:hAnsi="Times New Roman" w:cs="Times New Roman"/>
          <w:b/>
          <w:sz w:val="28"/>
          <w:szCs w:val="28"/>
          <w:lang w:val="uk-UA"/>
        </w:rPr>
        <w:t>Обґрунтуйте, будь ласка, свою думку.</w:t>
      </w: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співпраці покращаться, бо: </w:t>
      </w: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59"/>
      </w:tblGrid>
      <w:tr w:rsidR="00E7780E" w:rsidTr="00DE5666">
        <w:tc>
          <w:tcPr>
            <w:tcW w:w="6804" w:type="dxa"/>
          </w:tcPr>
          <w:p w:rsidR="00E7780E" w:rsidRPr="00B566B9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Зростатиме тиск громадськості на владу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Місцева еліта хоче втриматися при  владі і йтиме на певні поступки  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Відбулося певне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оновлення місцевої влади, поява молодих облич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Підвищилася строкатість складу місцевих рад. Мерам доведеться маневрувати і залучати громадськіс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Новообрані депутати самі розуміють, що треба співпрацювати з громадою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влада і раніше співпрацювала з громадськістю. Необхідне стабільне перемир’я  і ця співпраця продовжиться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Більший контроль з боку міжнародних партнерів за процесами в Україні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зміни у законодавстві щодо співпраці між владою та неурядовим сектором на місцях.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Умови співпраці не зміняться або  погіршаться, бо:</w:t>
      </w:r>
    </w:p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59"/>
      </w:tblGrid>
      <w:tr w:rsidR="00E7780E" w:rsidTr="00DE5666">
        <w:tc>
          <w:tcPr>
            <w:tcW w:w="6804" w:type="dxa"/>
          </w:tcPr>
          <w:p w:rsidR="00E7780E" w:rsidRPr="00B566B9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Достатнього оновлення місцевої влади не відбулося. Представники минулих каденцій були переобрані мерами або депутатами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реальні механізми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впливу громадських організацій на владу </w:t>
            </w:r>
          </w:p>
        </w:tc>
        <w:tc>
          <w:tcPr>
            <w:tcW w:w="2659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ради – малоефективна форма співпраці;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Реформа децентралізації і дерегуляції </w:t>
            </w:r>
            <w:r w:rsidR="003016B8"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просувається 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надто повільно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Існує ризик надмірної політизації діалогу і втрати конструктивності у відносинах влади і громадського сектору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ресурси лишилися  незмінними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влади як система пасивна і без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ініціативна.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виборів цікавість  влади до громадських активістів впаде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3016B8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організації  –</w:t>
            </w:r>
            <w:r w:rsidR="00E7780E"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 перешкода для корупційної діяльності місцевої влади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Допоки немає державної політики щодо  Донбасу, вся місцева влада в регіоні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приймати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 становище як нестабільне і ситуативне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 між  виборцями та обраними депутатами слабкий, можливості виборців звертатися до депутатів обмежені.</w:t>
            </w:r>
          </w:p>
        </w:tc>
        <w:tc>
          <w:tcPr>
            <w:tcW w:w="2659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Варіанти, згадані по одному разу</w:t>
            </w:r>
          </w:p>
        </w:tc>
      </w:tr>
    </w:tbl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>Вкажіть, будь ласка, Ваш рід занять</w:t>
      </w:r>
      <w:r w:rsidRPr="00E967E1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8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Експерт, аналітик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E7780E" w:rsidRPr="00E967E1" w:rsidRDefault="00E967E1" w:rsidP="00E7780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7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Деякі особи вказували кілька  сфер  своєї діяльності </w:t>
      </w:r>
    </w:p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Pr="00D212B3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Pr="00D64B03" w:rsidRDefault="00D64B03" w:rsidP="00E7780E">
      <w:pPr>
        <w:jc w:val="both"/>
        <w:rPr>
          <w:b/>
          <w:i/>
          <w:sz w:val="28"/>
          <w:szCs w:val="28"/>
          <w:lang w:val="uk-UA"/>
        </w:rPr>
      </w:pPr>
      <w:r w:rsidRPr="00D64B03">
        <w:rPr>
          <w:b/>
          <w:i/>
          <w:sz w:val="28"/>
          <w:szCs w:val="28"/>
          <w:lang w:val="uk-UA"/>
        </w:rPr>
        <w:lastRenderedPageBreak/>
        <w:t>Список експертів</w:t>
      </w:r>
    </w:p>
    <w:p w:rsidR="00D64B03" w:rsidRDefault="00D64B03" w:rsidP="00D64B03">
      <w:pPr>
        <w:rPr>
          <w:lang w:val="uk-UA"/>
        </w:rPr>
      </w:pP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  <w:sectPr w:rsidR="00D64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lastRenderedPageBreak/>
        <w:t xml:space="preserve">Вадим </w:t>
      </w:r>
      <w:proofErr w:type="spellStart"/>
      <w:r>
        <w:rPr>
          <w:lang w:val="uk-UA"/>
        </w:rPr>
        <w:t>Алтухов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Марія Байрачна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Олексій Бірюков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Белименко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Лілія Борова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Ольга </w:t>
      </w:r>
      <w:proofErr w:type="spellStart"/>
      <w:r>
        <w:rPr>
          <w:lang w:val="uk-UA"/>
        </w:rPr>
        <w:t>Ворощук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Сергій Гармаш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Михайло Горбань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Марія Давиденко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Дерека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Василина Джура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Дмитро </w:t>
      </w:r>
      <w:proofErr w:type="spellStart"/>
      <w:r>
        <w:rPr>
          <w:lang w:val="uk-UA"/>
        </w:rPr>
        <w:t>Дурнєв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Жамойтін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Павло </w:t>
      </w:r>
      <w:proofErr w:type="spellStart"/>
      <w:r>
        <w:rPr>
          <w:lang w:val="uk-UA"/>
        </w:rPr>
        <w:t>Жовніренко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Лариса Заливна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Іванов Олександр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Дмитро </w:t>
      </w:r>
      <w:proofErr w:type="spellStart"/>
      <w:r>
        <w:rPr>
          <w:lang w:val="uk-UA"/>
        </w:rPr>
        <w:t>Ігнатьєв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Кашенець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Карелін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Кіріченко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Валерій </w:t>
      </w:r>
      <w:proofErr w:type="spellStart"/>
      <w:r>
        <w:rPr>
          <w:lang w:val="uk-UA"/>
        </w:rPr>
        <w:t>Кочуєв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 w:rsidRPr="003005FF">
        <w:rPr>
          <w:lang w:val="uk-UA"/>
        </w:rPr>
        <w:t xml:space="preserve">Валентин </w:t>
      </w:r>
      <w:proofErr w:type="spellStart"/>
      <w:r w:rsidRPr="003005FF">
        <w:rPr>
          <w:lang w:val="uk-UA"/>
        </w:rPr>
        <w:t>Краснопьоров</w:t>
      </w:r>
      <w:proofErr w:type="spellEnd"/>
      <w:r w:rsidRPr="003005FF"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Антон </w:t>
      </w:r>
      <w:proofErr w:type="spellStart"/>
      <w:r>
        <w:rPr>
          <w:lang w:val="uk-UA"/>
        </w:rPr>
        <w:t>Кухлєв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Марина </w:t>
      </w:r>
      <w:proofErr w:type="spellStart"/>
      <w:r>
        <w:rPr>
          <w:lang w:val="uk-UA"/>
        </w:rPr>
        <w:t>Кухлєва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Владислав </w:t>
      </w:r>
      <w:proofErr w:type="spellStart"/>
      <w:r>
        <w:rPr>
          <w:lang w:val="uk-UA"/>
        </w:rPr>
        <w:t>Леошко</w:t>
      </w:r>
      <w:proofErr w:type="spellEnd"/>
    </w:p>
    <w:p w:rsidR="00D64B03" w:rsidRPr="003005FF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 w:rsidRPr="003005FF">
        <w:rPr>
          <w:lang w:val="uk-UA"/>
        </w:rPr>
        <w:lastRenderedPageBreak/>
        <w:t xml:space="preserve">Олексій </w:t>
      </w:r>
      <w:proofErr w:type="spellStart"/>
      <w:r w:rsidRPr="003005FF">
        <w:rPr>
          <w:lang w:val="uk-UA"/>
        </w:rPr>
        <w:t>Мацука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Роман Міщенко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Валерій Новіков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Лідія Овчаренко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Галина </w:t>
      </w:r>
      <w:proofErr w:type="spellStart"/>
      <w:r>
        <w:rPr>
          <w:lang w:val="uk-UA"/>
        </w:rPr>
        <w:t>Олійникова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Вікторія Омельченко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Пащенко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Поляков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Пронкін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Персин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Роман Пунін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Мариан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Романцова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Рудь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Фьодор</w:t>
      </w:r>
      <w:proofErr w:type="spellEnd"/>
      <w:r>
        <w:rPr>
          <w:lang w:val="uk-UA"/>
        </w:rPr>
        <w:t xml:space="preserve">  Руденко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Михайло </w:t>
      </w:r>
      <w:proofErr w:type="spellStart"/>
      <w:r>
        <w:rPr>
          <w:lang w:val="uk-UA"/>
        </w:rPr>
        <w:t>Рябчин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Стогнєєва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Наталя </w:t>
      </w:r>
      <w:proofErr w:type="spellStart"/>
      <w:r>
        <w:rPr>
          <w:lang w:val="uk-UA"/>
        </w:rPr>
        <w:t>Трояновська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Василь Хоменко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Тетяна Шашкова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Євген Шаповал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Щекодина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Ольга Щербина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Віолетта </w:t>
      </w:r>
      <w:proofErr w:type="spellStart"/>
      <w:r>
        <w:rPr>
          <w:lang w:val="uk-UA"/>
        </w:rPr>
        <w:t>Цуркан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Ілона Юрчук </w:t>
      </w:r>
    </w:p>
    <w:p w:rsidR="00D64B03" w:rsidRDefault="00D64B03" w:rsidP="00D64B03">
      <w:pPr>
        <w:pStyle w:val="a3"/>
        <w:rPr>
          <w:lang w:val="uk-UA"/>
        </w:rPr>
        <w:sectPr w:rsidR="00D64B03" w:rsidSect="00D64B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B03" w:rsidRDefault="00D64B03" w:rsidP="00D64B03">
      <w:pPr>
        <w:pStyle w:val="a3"/>
        <w:rPr>
          <w:lang w:val="uk-UA"/>
        </w:rPr>
      </w:pPr>
    </w:p>
    <w:p w:rsidR="00D64B03" w:rsidRPr="00E7780E" w:rsidRDefault="00D64B03" w:rsidP="00E7780E">
      <w:pPr>
        <w:jc w:val="both"/>
        <w:rPr>
          <w:lang w:val="uk-UA"/>
        </w:rPr>
      </w:pPr>
    </w:p>
    <w:sectPr w:rsidR="00D64B03" w:rsidRPr="00E7780E" w:rsidSect="00D64B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0A" w:rsidRDefault="00AF000A" w:rsidP="00E7780E">
      <w:pPr>
        <w:spacing w:after="0" w:line="240" w:lineRule="auto"/>
      </w:pPr>
      <w:r>
        <w:separator/>
      </w:r>
    </w:p>
  </w:endnote>
  <w:endnote w:type="continuationSeparator" w:id="0">
    <w:p w:rsidR="00AF000A" w:rsidRDefault="00AF000A" w:rsidP="00E7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0A" w:rsidRDefault="00AF000A" w:rsidP="00E7780E">
      <w:pPr>
        <w:spacing w:after="0" w:line="240" w:lineRule="auto"/>
      </w:pPr>
      <w:r>
        <w:separator/>
      </w:r>
    </w:p>
  </w:footnote>
  <w:footnote w:type="continuationSeparator" w:id="0">
    <w:p w:rsidR="00AF000A" w:rsidRDefault="00AF000A" w:rsidP="00E7780E">
      <w:pPr>
        <w:spacing w:after="0" w:line="240" w:lineRule="auto"/>
      </w:pPr>
      <w:r>
        <w:continuationSeparator/>
      </w:r>
    </w:p>
  </w:footnote>
  <w:footnote w:id="1">
    <w:p w:rsidR="00DF5B69" w:rsidRPr="00D64B03" w:rsidRDefault="00DF5B69" w:rsidP="00E7780E">
      <w:pPr>
        <w:pStyle w:val="a5"/>
        <w:rPr>
          <w:lang w:val="uk-UA"/>
        </w:rPr>
      </w:pPr>
      <w:r w:rsidRPr="00ED2203">
        <w:rPr>
          <w:rStyle w:val="a7"/>
          <w:sz w:val="16"/>
          <w:szCs w:val="16"/>
          <w:lang w:val="uk-UA"/>
        </w:rPr>
        <w:footnoteRef/>
      </w:r>
      <w:r w:rsidRPr="00ED2203">
        <w:rPr>
          <w:sz w:val="16"/>
          <w:szCs w:val="16"/>
          <w:lang w:val="uk-UA"/>
        </w:rPr>
        <w:t xml:space="preserve"> </w:t>
      </w:r>
      <w:r w:rsidRPr="00D64B03">
        <w:rPr>
          <w:lang w:val="uk-UA"/>
        </w:rPr>
        <w:t xml:space="preserve">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2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3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4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5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6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</w:rPr>
        <w:footnoteRef/>
      </w:r>
      <w:r w:rsidRPr="00D64B03">
        <w:t xml:space="preserve"> </w:t>
      </w:r>
      <w:r w:rsidRPr="00D64B03">
        <w:rPr>
          <w:lang w:val="uk-UA"/>
        </w:rPr>
        <w:t xml:space="preserve">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7">
    <w:p w:rsidR="00DF5B69" w:rsidRPr="00ED2203" w:rsidRDefault="00DF5B69" w:rsidP="00E7780E">
      <w:pPr>
        <w:pStyle w:val="a5"/>
        <w:rPr>
          <w:lang w:val="uk-UA"/>
        </w:rPr>
      </w:pPr>
      <w:r w:rsidRPr="00D64B03">
        <w:rPr>
          <w:rStyle w:val="a7"/>
        </w:rPr>
        <w:footnoteRef/>
      </w:r>
      <w:r w:rsidRPr="00D64B03">
        <w:t xml:space="preserve"> </w:t>
      </w:r>
      <w:r w:rsidRPr="00D64B03">
        <w:rPr>
          <w:lang w:val="uk-UA"/>
        </w:rPr>
        <w:t xml:space="preserve">2 респонденти не надали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8">
    <w:p w:rsidR="00DF5B69" w:rsidRPr="003016B8" w:rsidRDefault="00DF5B69" w:rsidP="00E7780E">
      <w:pPr>
        <w:pStyle w:val="a5"/>
        <w:rPr>
          <w:lang w:val="uk-UA"/>
        </w:rPr>
      </w:pPr>
      <w:r w:rsidRPr="003016B8">
        <w:rPr>
          <w:rStyle w:val="a7"/>
        </w:rPr>
        <w:footnoteRef/>
      </w:r>
      <w:r w:rsidRPr="003016B8">
        <w:t xml:space="preserve"> </w:t>
      </w:r>
      <w:r w:rsidRPr="003016B8">
        <w:rPr>
          <w:lang w:val="uk-UA"/>
        </w:rPr>
        <w:t>Деякі особи вказали кілька сфер занять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EB5"/>
    <w:multiLevelType w:val="hybridMultilevel"/>
    <w:tmpl w:val="5B68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55B9"/>
    <w:multiLevelType w:val="hybridMultilevel"/>
    <w:tmpl w:val="4786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02E3"/>
    <w:multiLevelType w:val="hybridMultilevel"/>
    <w:tmpl w:val="61403632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01B5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3F0717C"/>
    <w:multiLevelType w:val="hybridMultilevel"/>
    <w:tmpl w:val="D03A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C6F"/>
    <w:multiLevelType w:val="hybridMultilevel"/>
    <w:tmpl w:val="8AAA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C71FA"/>
    <w:multiLevelType w:val="hybridMultilevel"/>
    <w:tmpl w:val="463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3159"/>
    <w:multiLevelType w:val="hybridMultilevel"/>
    <w:tmpl w:val="C3AE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A6E2A"/>
    <w:multiLevelType w:val="hybridMultilevel"/>
    <w:tmpl w:val="ABC08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555FF"/>
    <w:multiLevelType w:val="multilevel"/>
    <w:tmpl w:val="A17219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DA"/>
    <w:rsid w:val="000321A2"/>
    <w:rsid w:val="00074B54"/>
    <w:rsid w:val="000933B8"/>
    <w:rsid w:val="000B1FD3"/>
    <w:rsid w:val="001262C5"/>
    <w:rsid w:val="00186F3A"/>
    <w:rsid w:val="002B5C19"/>
    <w:rsid w:val="003016B8"/>
    <w:rsid w:val="00401A55"/>
    <w:rsid w:val="00441543"/>
    <w:rsid w:val="004E2E91"/>
    <w:rsid w:val="00527A68"/>
    <w:rsid w:val="00532387"/>
    <w:rsid w:val="00582469"/>
    <w:rsid w:val="005C226A"/>
    <w:rsid w:val="00634317"/>
    <w:rsid w:val="00634676"/>
    <w:rsid w:val="00685E60"/>
    <w:rsid w:val="006D7D56"/>
    <w:rsid w:val="007368C3"/>
    <w:rsid w:val="00764ADA"/>
    <w:rsid w:val="007B6BA5"/>
    <w:rsid w:val="008A2007"/>
    <w:rsid w:val="008C5D0E"/>
    <w:rsid w:val="009A3DCC"/>
    <w:rsid w:val="009D32C9"/>
    <w:rsid w:val="009E1B25"/>
    <w:rsid w:val="009F7F88"/>
    <w:rsid w:val="00AB08B7"/>
    <w:rsid w:val="00AF000A"/>
    <w:rsid w:val="00B45AD2"/>
    <w:rsid w:val="00B55682"/>
    <w:rsid w:val="00B77B6E"/>
    <w:rsid w:val="00C2541A"/>
    <w:rsid w:val="00C400AD"/>
    <w:rsid w:val="00CF0C01"/>
    <w:rsid w:val="00D43EEA"/>
    <w:rsid w:val="00D46E15"/>
    <w:rsid w:val="00D64B03"/>
    <w:rsid w:val="00DE5666"/>
    <w:rsid w:val="00DF5B69"/>
    <w:rsid w:val="00E6235D"/>
    <w:rsid w:val="00E7780E"/>
    <w:rsid w:val="00E854FC"/>
    <w:rsid w:val="00E967E1"/>
    <w:rsid w:val="00EC02DD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6A"/>
    <w:pPr>
      <w:ind w:left="720"/>
      <w:contextualSpacing/>
    </w:pPr>
  </w:style>
  <w:style w:type="table" w:styleId="a4">
    <w:name w:val="Table Grid"/>
    <w:basedOn w:val="a1"/>
    <w:uiPriority w:val="59"/>
    <w:rsid w:val="00E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78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8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80E"/>
    <w:rPr>
      <w:vertAlign w:val="superscript"/>
    </w:rPr>
  </w:style>
  <w:style w:type="paragraph" w:styleId="a8">
    <w:name w:val="header"/>
    <w:basedOn w:val="a"/>
    <w:link w:val="a9"/>
    <w:semiHidden/>
    <w:rsid w:val="00D43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9">
    <w:name w:val="Верхний колонтитул Знак"/>
    <w:basedOn w:val="a0"/>
    <w:link w:val="a8"/>
    <w:semiHidden/>
    <w:rsid w:val="00D43EEA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6A"/>
    <w:pPr>
      <w:ind w:left="720"/>
      <w:contextualSpacing/>
    </w:pPr>
  </w:style>
  <w:style w:type="table" w:styleId="a4">
    <w:name w:val="Table Grid"/>
    <w:basedOn w:val="a1"/>
    <w:uiPriority w:val="59"/>
    <w:rsid w:val="00E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78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8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80E"/>
    <w:rPr>
      <w:vertAlign w:val="superscript"/>
    </w:rPr>
  </w:style>
  <w:style w:type="paragraph" w:styleId="a8">
    <w:name w:val="header"/>
    <w:basedOn w:val="a"/>
    <w:link w:val="a9"/>
    <w:semiHidden/>
    <w:rsid w:val="00D43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9">
    <w:name w:val="Верхний колонтитул Знак"/>
    <w:basedOn w:val="a0"/>
    <w:link w:val="a8"/>
    <w:semiHidden/>
    <w:rsid w:val="00D43EEA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939F-BBD0-47F2-AA17-089EF48E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3</cp:revision>
  <dcterms:created xsi:type="dcterms:W3CDTF">2015-11-25T10:39:00Z</dcterms:created>
  <dcterms:modified xsi:type="dcterms:W3CDTF">2015-11-25T10:57:00Z</dcterms:modified>
</cp:coreProperties>
</file>