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82" w:rsidRPr="00AA2DA1" w:rsidRDefault="00C8578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sz w:val="20"/>
          <w:szCs w:val="20"/>
        </w:rPr>
      </w:pPr>
    </w:p>
    <w:p w:rsidR="00C85782" w:rsidRPr="00AA2DA1" w:rsidRDefault="00BA144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Times New Roman" w:hAnsiTheme="minorHAnsi" w:cstheme="minorHAnsi"/>
          <w:i/>
          <w:sz w:val="20"/>
          <w:szCs w:val="20"/>
        </w:rPr>
      </w:pPr>
      <w:r w:rsidRPr="00AA2DA1">
        <w:rPr>
          <w:rFonts w:asciiTheme="minorHAnsi" w:eastAsia="Times New Roman" w:hAnsiTheme="minorHAnsi" w:cstheme="minorHAnsi"/>
          <w:noProof/>
          <w:sz w:val="20"/>
          <w:szCs w:val="20"/>
        </w:rPr>
        <w:drawing>
          <wp:inline distT="0" distB="0" distL="0" distR="0">
            <wp:extent cx="5940425" cy="103612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361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85782" w:rsidRPr="00AA2DA1" w:rsidRDefault="00C8578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Times New Roman" w:hAnsiTheme="minorHAnsi" w:cstheme="minorHAnsi"/>
          <w:i/>
          <w:sz w:val="20"/>
          <w:szCs w:val="20"/>
        </w:rPr>
      </w:pPr>
    </w:p>
    <w:p w:rsidR="00C85782" w:rsidRPr="00AA2DA1" w:rsidRDefault="00BA144E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b/>
          <w:sz w:val="24"/>
          <w:szCs w:val="24"/>
        </w:rPr>
        <w:t>ПОЛІТИЧНИЙ КВАРТАЛ: ПІДСУМКИ-2020 РОКУ</w:t>
      </w:r>
    </w:p>
    <w:p w:rsidR="00C85782" w:rsidRPr="00AA2DA1" w:rsidRDefault="00C8578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Times New Roman" w:hAnsiTheme="minorHAnsi" w:cstheme="minorHAnsi"/>
          <w:i/>
          <w:sz w:val="24"/>
          <w:szCs w:val="24"/>
        </w:rPr>
      </w:pPr>
    </w:p>
    <w:p w:rsidR="000B4793" w:rsidRPr="00AA2DA1" w:rsidRDefault="000B4793" w:rsidP="007D44A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i/>
          <w:sz w:val="24"/>
          <w:szCs w:val="24"/>
        </w:rPr>
        <w:t xml:space="preserve">Експертне опитування «Політичний квартал: </w:t>
      </w:r>
      <w:r w:rsidR="007D44A6" w:rsidRPr="00AA2DA1">
        <w:rPr>
          <w:rFonts w:asciiTheme="minorHAnsi" w:eastAsia="Times New Roman" w:hAnsiTheme="minorHAnsi" w:cstheme="minorHAnsi"/>
          <w:i/>
          <w:sz w:val="24"/>
          <w:szCs w:val="24"/>
        </w:rPr>
        <w:t>підсумки 2020 року</w:t>
      </w:r>
      <w:r w:rsidRPr="00AA2DA1">
        <w:rPr>
          <w:rFonts w:asciiTheme="minorHAnsi" w:eastAsia="Times New Roman" w:hAnsiTheme="minorHAnsi" w:cstheme="minorHAnsi"/>
          <w:i/>
          <w:sz w:val="24"/>
          <w:szCs w:val="24"/>
        </w:rPr>
        <w:t>» проведено Фондом «Демократичні ініці</w:t>
      </w:r>
      <w:r w:rsidR="007D44A6" w:rsidRPr="00AA2DA1">
        <w:rPr>
          <w:rFonts w:asciiTheme="minorHAnsi" w:eastAsia="Times New Roman" w:hAnsiTheme="minorHAnsi" w:cstheme="minorHAnsi"/>
          <w:i/>
          <w:sz w:val="24"/>
          <w:szCs w:val="24"/>
        </w:rPr>
        <w:t>ативи» імені Ілька Кучеріва з 15 по 19 грудня 2020 р. Всього опитано 57</w:t>
      </w:r>
      <w:r w:rsidRPr="00AA2DA1">
        <w:rPr>
          <w:rFonts w:asciiTheme="minorHAnsi" w:eastAsia="Times New Roman" w:hAnsiTheme="minorHAnsi" w:cstheme="minorHAnsi"/>
          <w:i/>
          <w:sz w:val="24"/>
          <w:szCs w:val="24"/>
        </w:rPr>
        <w:t xml:space="preserve"> експертів.</w:t>
      </w:r>
    </w:p>
    <w:p w:rsidR="005C7DD4" w:rsidRPr="00AA2DA1" w:rsidRDefault="005C7DD4" w:rsidP="005C7DD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</w:p>
    <w:p w:rsidR="005C7DD4" w:rsidRPr="00AA2DA1" w:rsidRDefault="005C7DD4" w:rsidP="005C7DD4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Оцінки ефективності Президента Зеленського</w:t>
      </w:r>
      <w:r w:rsidR="001A4001" w:rsidRPr="00AA2DA1">
        <w:rPr>
          <w:rFonts w:asciiTheme="minorHAnsi" w:eastAsia="Times New Roman" w:hAnsiTheme="minorHAnsi" w:cstheme="minorHAnsi"/>
          <w:sz w:val="24"/>
          <w:szCs w:val="24"/>
        </w:rPr>
        <w:t>, що їх надали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 експерт</w:t>
      </w:r>
      <w:r w:rsidR="001A4001" w:rsidRPr="00AA2DA1">
        <w:rPr>
          <w:rFonts w:asciiTheme="minorHAnsi" w:eastAsia="Times New Roman" w:hAnsiTheme="minorHAnsi" w:cstheme="minorHAnsi"/>
          <w:sz w:val="24"/>
          <w:szCs w:val="24"/>
        </w:rPr>
        <w:t xml:space="preserve">и, і надалі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  залиша</w:t>
      </w:r>
      <w:r w:rsidR="001A4001" w:rsidRPr="00AA2DA1">
        <w:rPr>
          <w:rFonts w:asciiTheme="minorHAnsi" w:eastAsia="Times New Roman" w:hAnsiTheme="minorHAnsi" w:cstheme="minorHAnsi"/>
          <w:sz w:val="24"/>
          <w:szCs w:val="24"/>
        </w:rPr>
        <w:t xml:space="preserve">ються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на низькому рівні. Так, найвище була оцінена комун</w:t>
      </w:r>
      <w:r w:rsidR="001A4001" w:rsidRPr="00AA2DA1">
        <w:rPr>
          <w:rFonts w:asciiTheme="minorHAnsi" w:eastAsia="Times New Roman" w:hAnsiTheme="minorHAnsi" w:cstheme="minorHAnsi"/>
          <w:sz w:val="24"/>
          <w:szCs w:val="24"/>
        </w:rPr>
        <w:t>ікація зі суспільством – але і в випадку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 оцінка </w:t>
      </w:r>
      <w:r w:rsidR="001A4001" w:rsidRPr="00AA2DA1">
        <w:rPr>
          <w:rFonts w:asciiTheme="minorHAnsi" w:eastAsia="Times New Roman" w:hAnsiTheme="minorHAnsi" w:cstheme="minorHAnsi"/>
          <w:sz w:val="24"/>
          <w:szCs w:val="24"/>
        </w:rPr>
        <w:t>н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ижч</w:t>
      </w:r>
      <w:r w:rsidR="001A4001" w:rsidRPr="00AA2DA1">
        <w:rPr>
          <w:rFonts w:asciiTheme="minorHAnsi" w:eastAsia="Times New Roman" w:hAnsiTheme="minorHAnsi" w:cstheme="minorHAnsi"/>
          <w:sz w:val="24"/>
          <w:szCs w:val="24"/>
        </w:rPr>
        <w:t xml:space="preserve">а за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середн</w:t>
      </w:r>
      <w:r w:rsidR="001A4001" w:rsidRPr="00AA2DA1">
        <w:rPr>
          <w:rFonts w:asciiTheme="minorHAnsi" w:eastAsia="Times New Roman" w:hAnsiTheme="minorHAnsi" w:cstheme="minorHAnsi"/>
          <w:sz w:val="24"/>
          <w:szCs w:val="24"/>
        </w:rPr>
        <w:t>ю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 – 2,5 бала з 5 можливих. Ведення зовнішньої політики та врегулювання конфлікту на Донбасі експерти оцінили на 2,2 бала. Ще нижчі оцінки</w:t>
      </w:r>
      <w:r w:rsidR="00BA6655" w:rsidRPr="00AA2DA1">
        <w:rPr>
          <w:rFonts w:asciiTheme="minorHAnsi" w:eastAsia="Times New Roman" w:hAnsiTheme="minorHAnsi" w:cstheme="minorHAnsi"/>
          <w:sz w:val="24"/>
          <w:szCs w:val="24"/>
        </w:rPr>
        <w:t xml:space="preserve"> виставлено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 боротьб</w:t>
      </w:r>
      <w:r w:rsidR="00BA6655" w:rsidRPr="00AA2DA1">
        <w:rPr>
          <w:rFonts w:asciiTheme="minorHAnsi" w:eastAsia="Times New Roman" w:hAnsiTheme="minorHAnsi" w:cstheme="minorHAnsi"/>
          <w:sz w:val="24"/>
          <w:szCs w:val="24"/>
        </w:rPr>
        <w:t>і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 з епідемією COVID-19 – 2 бали</w:t>
      </w:r>
      <w:r w:rsidR="00BA6655" w:rsidRPr="00AA2DA1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 та ініціюванн</w:t>
      </w:r>
      <w:r w:rsidR="00BA6655" w:rsidRPr="00AA2DA1">
        <w:rPr>
          <w:rFonts w:asciiTheme="minorHAnsi" w:eastAsia="Times New Roman" w:hAnsiTheme="minorHAnsi" w:cstheme="minorHAnsi"/>
          <w:sz w:val="24"/>
          <w:szCs w:val="24"/>
        </w:rPr>
        <w:t>ю необхідних реформ –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 1,8 бала. Зовсім провальним для Президента є питання кадрів – 1,4 бала.</w:t>
      </w:r>
    </w:p>
    <w:p w:rsidR="00E033BB" w:rsidRDefault="005C7DD4" w:rsidP="00D076EB">
      <w:pPr>
        <w:pStyle w:val="a4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Річна динаміка оцінок ефективності </w:t>
      </w:r>
      <w:r w:rsidR="00BA6655" w:rsidRPr="00AA2DA1">
        <w:rPr>
          <w:rFonts w:asciiTheme="minorHAnsi" w:eastAsia="Times New Roman" w:hAnsiTheme="minorHAnsi" w:cstheme="minorHAnsi"/>
          <w:sz w:val="24"/>
          <w:szCs w:val="24"/>
        </w:rPr>
        <w:t xml:space="preserve">діяльності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Президента </w:t>
      </w:r>
      <w:r w:rsidR="00BA6655" w:rsidRPr="00AA2DA1">
        <w:rPr>
          <w:rFonts w:asciiTheme="minorHAnsi" w:eastAsia="Times New Roman" w:hAnsiTheme="minorHAnsi" w:cstheme="minorHAnsi"/>
          <w:sz w:val="24"/>
          <w:szCs w:val="24"/>
        </w:rPr>
        <w:t xml:space="preserve">Зеленського –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переважно </w:t>
      </w:r>
      <w:r w:rsidR="00E033BB" w:rsidRPr="00AA2DA1">
        <w:rPr>
          <w:rFonts w:asciiTheme="minorHAnsi" w:eastAsia="Times New Roman" w:hAnsiTheme="minorHAnsi" w:cstheme="minorHAnsi"/>
          <w:sz w:val="24"/>
          <w:szCs w:val="24"/>
        </w:rPr>
        <w:t>стабільн</w:t>
      </w:r>
      <w:r w:rsidR="00BA6655" w:rsidRPr="00AA2DA1">
        <w:rPr>
          <w:rFonts w:asciiTheme="minorHAnsi" w:eastAsia="Times New Roman" w:hAnsiTheme="minorHAnsi" w:cstheme="minorHAnsi"/>
          <w:sz w:val="24"/>
          <w:szCs w:val="24"/>
        </w:rPr>
        <w:t>а. Якщо</w:t>
      </w:r>
      <w:r w:rsidR="00E033BB" w:rsidRPr="00AA2DA1">
        <w:rPr>
          <w:rFonts w:asciiTheme="minorHAnsi" w:eastAsia="Times New Roman" w:hAnsiTheme="minorHAnsi" w:cstheme="minorHAnsi"/>
          <w:sz w:val="24"/>
          <w:szCs w:val="24"/>
        </w:rPr>
        <w:t xml:space="preserve"> порівня</w:t>
      </w:r>
      <w:r w:rsidR="00BA6655" w:rsidRPr="00AA2DA1">
        <w:rPr>
          <w:rFonts w:asciiTheme="minorHAnsi" w:eastAsia="Times New Roman" w:hAnsiTheme="minorHAnsi" w:cstheme="minorHAnsi"/>
          <w:sz w:val="24"/>
          <w:szCs w:val="24"/>
        </w:rPr>
        <w:t xml:space="preserve">ти </w:t>
      </w:r>
      <w:r w:rsidR="00E033BB" w:rsidRPr="00AA2DA1">
        <w:rPr>
          <w:rFonts w:asciiTheme="minorHAnsi" w:eastAsia="Times New Roman" w:hAnsiTheme="minorHAnsi" w:cstheme="minorHAnsi"/>
          <w:sz w:val="24"/>
          <w:szCs w:val="24"/>
        </w:rPr>
        <w:t>з першим та другим квартал</w:t>
      </w:r>
      <w:r w:rsidR="005314AA" w:rsidRPr="00AA2DA1">
        <w:rPr>
          <w:rFonts w:asciiTheme="minorHAnsi" w:eastAsia="Times New Roman" w:hAnsiTheme="minorHAnsi" w:cstheme="minorHAnsi"/>
          <w:sz w:val="24"/>
          <w:szCs w:val="24"/>
        </w:rPr>
        <w:t>ами, то</w:t>
      </w:r>
      <w:r w:rsidR="00BA6655" w:rsidRPr="00AA2DA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E033BB" w:rsidRPr="00AA2DA1">
        <w:rPr>
          <w:rFonts w:asciiTheme="minorHAnsi" w:eastAsia="Times New Roman" w:hAnsiTheme="minorHAnsi" w:cstheme="minorHAnsi"/>
          <w:sz w:val="24"/>
          <w:szCs w:val="24"/>
        </w:rPr>
        <w:t>відбулос</w:t>
      </w:r>
      <w:r w:rsidR="005314AA" w:rsidRPr="00AA2DA1">
        <w:rPr>
          <w:rFonts w:asciiTheme="minorHAnsi" w:eastAsia="Times New Roman" w:hAnsiTheme="minorHAnsi" w:cstheme="minorHAnsi"/>
          <w:sz w:val="24"/>
          <w:szCs w:val="24"/>
        </w:rPr>
        <w:t>я</w:t>
      </w:r>
      <w:r w:rsidR="00E033BB" w:rsidRPr="00AA2DA1">
        <w:rPr>
          <w:rFonts w:asciiTheme="minorHAnsi" w:eastAsia="Times New Roman" w:hAnsiTheme="minorHAnsi" w:cstheme="minorHAnsi"/>
          <w:sz w:val="24"/>
          <w:szCs w:val="24"/>
        </w:rPr>
        <w:t xml:space="preserve"> суттєве зниження ефективності зусиль боротьби з епідемією</w:t>
      </w:r>
      <w:r w:rsidR="00E303C7" w:rsidRPr="00AA2DA1">
        <w:rPr>
          <w:rFonts w:asciiTheme="minorHAnsi" w:eastAsia="Times New Roman" w:hAnsiTheme="minorHAnsi" w:cstheme="minorHAnsi"/>
          <w:sz w:val="24"/>
          <w:szCs w:val="24"/>
        </w:rPr>
        <w:t>, однак інші показники змінилися</w:t>
      </w:r>
      <w:r w:rsidR="00E033BB" w:rsidRPr="00AA2DA1">
        <w:rPr>
          <w:rFonts w:asciiTheme="minorHAnsi" w:eastAsia="Times New Roman" w:hAnsiTheme="minorHAnsi" w:cstheme="minorHAnsi"/>
          <w:sz w:val="24"/>
          <w:szCs w:val="24"/>
        </w:rPr>
        <w:t xml:space="preserve"> незначно. </w:t>
      </w:r>
    </w:p>
    <w:p w:rsidR="0086265F" w:rsidRDefault="0086265F" w:rsidP="0086265F">
      <w:pPr>
        <w:pStyle w:val="a4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9750A9" w:rsidRPr="00AA2DA1" w:rsidRDefault="009750A9" w:rsidP="0086265F">
      <w:pPr>
        <w:pStyle w:val="a4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noProof/>
          <w:sz w:val="24"/>
          <w:szCs w:val="24"/>
        </w:rPr>
        <w:drawing>
          <wp:inline distT="0" distB="0" distL="0" distR="0">
            <wp:extent cx="5940425" cy="36118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еоцінка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3BB" w:rsidRPr="00AA2DA1" w:rsidRDefault="00E033BB" w:rsidP="009936C6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Серед пропонованих для оцінки подій, які </w:t>
      </w:r>
      <w:r w:rsidR="00E303C7" w:rsidRPr="00AA2DA1">
        <w:rPr>
          <w:rFonts w:asciiTheme="minorHAnsi" w:eastAsia="Times New Roman" w:hAnsiTheme="minorHAnsi" w:cstheme="minorHAnsi"/>
          <w:sz w:val="24"/>
          <w:szCs w:val="24"/>
        </w:rPr>
        <w:t>відбулися</w:t>
      </w:r>
      <w:r w:rsidR="00855A45" w:rsidRPr="00AA2DA1">
        <w:rPr>
          <w:rFonts w:asciiTheme="minorHAnsi" w:eastAsia="Times New Roman" w:hAnsiTheme="minorHAnsi" w:cstheme="minorHAnsi"/>
          <w:sz w:val="24"/>
          <w:szCs w:val="24"/>
        </w:rPr>
        <w:t xml:space="preserve"> у 4 кварталі 2020 року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 та можуть впливати на ситуацію в Україні, експерти оцінили </w:t>
      </w:r>
      <w:r w:rsidR="00E303C7" w:rsidRPr="00AA2DA1">
        <w:rPr>
          <w:rFonts w:asciiTheme="minorHAnsi" w:eastAsia="Times New Roman" w:hAnsiTheme="minorHAnsi" w:cstheme="minorHAnsi"/>
          <w:sz w:val="24"/>
          <w:szCs w:val="24"/>
        </w:rPr>
        <w:t>потужний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 характер впливу обрання Дж. Байдена Президентом США. Цей вплив</w:t>
      </w:r>
      <w:r w:rsidR="005314AA" w:rsidRPr="00AA2DA1">
        <w:rPr>
          <w:rFonts w:asciiTheme="minorHAnsi" w:eastAsia="Times New Roman" w:hAnsiTheme="minorHAnsi" w:cstheme="minorHAnsi"/>
          <w:sz w:val="24"/>
          <w:szCs w:val="24"/>
        </w:rPr>
        <w:t xml:space="preserve">, на </w:t>
      </w:r>
      <w:r w:rsidR="002F0ED5" w:rsidRPr="00AA2DA1">
        <w:rPr>
          <w:rFonts w:asciiTheme="minorHAnsi" w:eastAsia="Times New Roman" w:hAnsiTheme="minorHAnsi" w:cstheme="minorHAnsi"/>
          <w:sz w:val="24"/>
          <w:szCs w:val="24"/>
        </w:rPr>
        <w:t>їхню думку</w:t>
      </w:r>
      <w:r w:rsidR="005314AA" w:rsidRPr="00AA2DA1">
        <w:rPr>
          <w:rFonts w:asciiTheme="minorHAnsi" w:eastAsia="Times New Roman" w:hAnsiTheme="minorHAnsi" w:cstheme="minorHAnsi"/>
          <w:sz w:val="24"/>
          <w:szCs w:val="24"/>
        </w:rPr>
        <w:t>, має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 бути переважно позитивним. Зворотн</w:t>
      </w:r>
      <w:r w:rsidR="00855A45" w:rsidRPr="00AA2DA1">
        <w:rPr>
          <w:rFonts w:asciiTheme="minorHAnsi" w:eastAsia="Times New Roman" w:hAnsiTheme="minorHAnsi" w:cstheme="minorHAnsi"/>
          <w:sz w:val="24"/>
          <w:szCs w:val="24"/>
        </w:rPr>
        <w:t>а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 ситуаці</w:t>
      </w:r>
      <w:r w:rsidR="005314AA" w:rsidRPr="00AA2DA1">
        <w:rPr>
          <w:rFonts w:asciiTheme="minorHAnsi" w:eastAsia="Times New Roman" w:hAnsiTheme="minorHAnsi" w:cstheme="minorHAnsi"/>
          <w:sz w:val="24"/>
          <w:szCs w:val="24"/>
        </w:rPr>
        <w:t>я з р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ішенням КСУ про визнання неконституційним</w:t>
      </w:r>
      <w:r w:rsidR="005314AA" w:rsidRPr="00AA2DA1">
        <w:rPr>
          <w:rFonts w:asciiTheme="minorHAnsi" w:eastAsia="Times New Roman" w:hAnsiTheme="minorHAnsi" w:cstheme="minorHAnsi"/>
          <w:sz w:val="24"/>
          <w:szCs w:val="24"/>
        </w:rPr>
        <w:t>и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 окремих положень закону «Про запобігання корупції». Маючи співмірну силу впливу ця подія матиме суттєві негативні наслідки. Більше на українське політичне життя </w:t>
      </w:r>
      <w:r w:rsidR="009936C6" w:rsidRPr="00AA2DA1">
        <w:rPr>
          <w:rFonts w:asciiTheme="minorHAnsi" w:eastAsia="Times New Roman" w:hAnsiTheme="minorHAnsi" w:cstheme="minorHAnsi"/>
          <w:sz w:val="24"/>
          <w:szCs w:val="24"/>
        </w:rPr>
        <w:t xml:space="preserve">впливатиме тільки перемога місцевих політичних сил </w:t>
      </w:r>
      <w:r w:rsidR="002F0ED5" w:rsidRPr="00AA2DA1">
        <w:rPr>
          <w:rFonts w:asciiTheme="minorHAnsi" w:eastAsia="Times New Roman" w:hAnsiTheme="minorHAnsi" w:cstheme="minorHAnsi"/>
          <w:sz w:val="24"/>
          <w:szCs w:val="24"/>
        </w:rPr>
        <w:t>у</w:t>
      </w:r>
      <w:r w:rsidR="009936C6" w:rsidRPr="00AA2DA1">
        <w:rPr>
          <w:rFonts w:asciiTheme="minorHAnsi" w:eastAsia="Times New Roman" w:hAnsiTheme="minorHAnsi" w:cstheme="minorHAnsi"/>
          <w:sz w:val="24"/>
          <w:szCs w:val="24"/>
        </w:rPr>
        <w:t xml:space="preserve"> більшості</w:t>
      </w:r>
      <w:r w:rsidR="002F0ED5" w:rsidRPr="00AA2DA1">
        <w:rPr>
          <w:rFonts w:asciiTheme="minorHAnsi" w:eastAsia="Times New Roman" w:hAnsiTheme="minorHAnsi" w:cstheme="minorHAnsi"/>
          <w:sz w:val="24"/>
          <w:szCs w:val="24"/>
        </w:rPr>
        <w:t xml:space="preserve"> великих міст України. Водночас</w:t>
      </w:r>
      <w:r w:rsidR="009936C6" w:rsidRPr="00AA2DA1">
        <w:rPr>
          <w:rFonts w:asciiTheme="minorHAnsi" w:eastAsia="Times New Roman" w:hAnsiTheme="minorHAnsi" w:cstheme="minorHAnsi"/>
          <w:sz w:val="24"/>
          <w:szCs w:val="24"/>
        </w:rPr>
        <w:t xml:space="preserve"> характер впливу цієї події залишається неясним.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9936C6" w:rsidRDefault="009936C6" w:rsidP="00D076EB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Дещо менше на українське політичне життя впливатиме «справа Микитася», а саме свідчення екс-голови </w:t>
      </w:r>
      <w:r w:rsidR="00455217" w:rsidRPr="00AA2DA1">
        <w:rPr>
          <w:rFonts w:asciiTheme="minorHAnsi" w:eastAsia="Times New Roman" w:hAnsiTheme="minorHAnsi" w:cstheme="minorHAnsi"/>
          <w:sz w:val="24"/>
          <w:szCs w:val="24"/>
        </w:rPr>
        <w:t>«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Укрбуду</w:t>
      </w:r>
      <w:r w:rsidR="00455217" w:rsidRPr="00AA2DA1">
        <w:rPr>
          <w:rFonts w:asciiTheme="minorHAnsi" w:eastAsia="Times New Roman" w:hAnsiTheme="minorHAnsi" w:cstheme="minorHAnsi"/>
          <w:sz w:val="24"/>
          <w:szCs w:val="24"/>
        </w:rPr>
        <w:t>»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 стосовно корупційних злочинів колишніх та нинішніх топ-чиновників. Характер впливу цієї події також залишається неясним. </w:t>
      </w:r>
      <w:r w:rsidR="009E545B" w:rsidRPr="00AA2DA1">
        <w:rPr>
          <w:rFonts w:asciiTheme="minorHAnsi" w:eastAsia="Times New Roman" w:hAnsiTheme="minorHAnsi" w:cstheme="minorHAnsi"/>
          <w:sz w:val="24"/>
          <w:szCs w:val="24"/>
        </w:rPr>
        <w:t xml:space="preserve">Стосовно ще однієї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поді</w:t>
      </w:r>
      <w:r w:rsidR="009E545B" w:rsidRPr="00AA2DA1">
        <w:rPr>
          <w:rFonts w:asciiTheme="minorHAnsi" w:eastAsia="Times New Roman" w:hAnsiTheme="minorHAnsi" w:cstheme="minorHAnsi"/>
          <w:sz w:val="24"/>
          <w:szCs w:val="24"/>
        </w:rPr>
        <w:t xml:space="preserve">ї –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заяви Росії</w:t>
      </w:r>
      <w:r w:rsidR="009E545B" w:rsidRPr="00AA2DA1">
        <w:rPr>
          <w:rFonts w:asciiTheme="minorHAnsi" w:eastAsia="Times New Roman" w:hAnsiTheme="minorHAnsi" w:cstheme="minorHAnsi"/>
          <w:sz w:val="24"/>
          <w:szCs w:val="24"/>
        </w:rPr>
        <w:t xml:space="preserve"> про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створення її зусиллями вакцини від </w:t>
      </w:r>
      <w:r w:rsidRPr="00AA2DA1">
        <w:rPr>
          <w:rFonts w:asciiTheme="minorHAnsi" w:eastAsia="Times New Roman" w:hAnsiTheme="minorHAnsi" w:cstheme="minorHAnsi"/>
          <w:sz w:val="24"/>
          <w:szCs w:val="24"/>
          <w:lang w:val="en-US"/>
        </w:rPr>
        <w:t>COVID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-19</w:t>
      </w:r>
      <w:r w:rsidR="009E545B" w:rsidRPr="00AA2DA1">
        <w:rPr>
          <w:rFonts w:asciiTheme="minorHAnsi" w:eastAsia="Times New Roman" w:hAnsiTheme="minorHAnsi" w:cstheme="minorHAnsi"/>
          <w:sz w:val="24"/>
          <w:szCs w:val="24"/>
        </w:rPr>
        <w:t xml:space="preserve">, 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то </w:t>
      </w:r>
      <w:r w:rsidR="009E545B" w:rsidRPr="00AA2DA1">
        <w:rPr>
          <w:rFonts w:asciiTheme="minorHAnsi" w:eastAsia="Times New Roman" w:hAnsiTheme="minorHAnsi" w:cstheme="minorHAnsi"/>
          <w:sz w:val="24"/>
          <w:szCs w:val="24"/>
        </w:rPr>
        <w:t>її вплив</w:t>
      </w:r>
      <w:r w:rsidR="0016666A" w:rsidRPr="00AA2DA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6666A" w:rsidRPr="00AA2DA1">
        <w:rPr>
          <w:rFonts w:asciiTheme="minorHAnsi" w:eastAsia="Times New Roman" w:hAnsiTheme="minorHAnsi" w:cstheme="minorHAnsi"/>
          <w:sz w:val="24"/>
          <w:szCs w:val="24"/>
        </w:rPr>
        <w:t>на українське політичне життя</w:t>
      </w:r>
      <w:r w:rsidR="009E545B" w:rsidRPr="00AA2DA1">
        <w:rPr>
          <w:rFonts w:asciiTheme="minorHAnsi" w:eastAsia="Times New Roman" w:hAnsiTheme="minorHAnsi" w:cstheme="minorHAnsi"/>
          <w:sz w:val="24"/>
          <w:szCs w:val="24"/>
        </w:rPr>
        <w:t xml:space="preserve">, на думку експертів,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буде негативним, але не таким</w:t>
      </w:r>
      <w:r w:rsidR="0016666A" w:rsidRPr="00AA2DA1">
        <w:rPr>
          <w:rFonts w:asciiTheme="minorHAnsi" w:eastAsia="Times New Roman" w:hAnsiTheme="minorHAnsi" w:cstheme="minorHAnsi"/>
          <w:sz w:val="24"/>
          <w:szCs w:val="24"/>
        </w:rPr>
        <w:t xml:space="preserve"> вже й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6666A" w:rsidRPr="00AA2DA1">
        <w:rPr>
          <w:rFonts w:asciiTheme="minorHAnsi" w:eastAsia="Times New Roman" w:hAnsiTheme="minorHAnsi" w:cstheme="minorHAnsi"/>
          <w:sz w:val="24"/>
          <w:szCs w:val="24"/>
        </w:rPr>
        <w:t>відчутним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.</w:t>
      </w:r>
      <w:r w:rsidR="00D076EB" w:rsidRPr="00AA2DA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86265F" w:rsidRDefault="0086265F" w:rsidP="0086265F">
      <w:pPr>
        <w:pStyle w:val="a4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86265F" w:rsidRPr="0086265F" w:rsidRDefault="0086265F" w:rsidP="0086265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noProof/>
          <w:sz w:val="24"/>
          <w:szCs w:val="24"/>
        </w:rPr>
        <w:drawing>
          <wp:inline distT="0" distB="0" distL="0" distR="0">
            <wp:extent cx="5940425" cy="561467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Експертний аналіз наслідків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1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793" w:rsidRPr="0086265F" w:rsidRDefault="00AF5EAE" w:rsidP="00455217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AF5EAE">
        <w:rPr>
          <w:rFonts w:asciiTheme="minorHAnsi" w:eastAsia="Times New Roman" w:hAnsiTheme="minorHAnsi" w:cstheme="minorHAnsi"/>
          <w:sz w:val="24"/>
          <w:szCs w:val="24"/>
        </w:rPr>
        <w:lastRenderedPageBreak/>
        <w:t>У перспективі найближч</w:t>
      </w:r>
      <w:r w:rsidR="00E336E9">
        <w:rPr>
          <w:rFonts w:asciiTheme="minorHAnsi" w:eastAsia="Times New Roman" w:hAnsiTheme="minorHAnsi" w:cstheme="minorHAnsi"/>
          <w:sz w:val="24"/>
          <w:szCs w:val="24"/>
        </w:rPr>
        <w:t>их місяців наступного</w:t>
      </w:r>
      <w:r w:rsidRPr="00AF5EAE">
        <w:rPr>
          <w:rFonts w:asciiTheme="minorHAnsi" w:eastAsia="Times New Roman" w:hAnsiTheme="minorHAnsi" w:cstheme="minorHAnsi"/>
          <w:sz w:val="24"/>
          <w:szCs w:val="24"/>
        </w:rPr>
        <w:t xml:space="preserve"> року </w:t>
      </w:r>
      <w:r w:rsidR="00146604">
        <w:rPr>
          <w:rFonts w:asciiTheme="minorHAnsi" w:eastAsia="Times New Roman" w:hAnsiTheme="minorHAnsi" w:cstheme="minorHAnsi"/>
          <w:sz w:val="24"/>
          <w:szCs w:val="24"/>
        </w:rPr>
        <w:t xml:space="preserve">найвищу </w:t>
      </w:r>
      <w:r w:rsidRPr="00AF5EAE">
        <w:rPr>
          <w:rFonts w:asciiTheme="minorHAnsi" w:eastAsia="Times New Roman" w:hAnsiTheme="minorHAnsi" w:cstheme="minorHAnsi"/>
          <w:sz w:val="24"/>
          <w:szCs w:val="24"/>
        </w:rPr>
        <w:t>ймовірність</w:t>
      </w:r>
      <w:r w:rsidR="0014660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F5EA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46604">
        <w:rPr>
          <w:rFonts w:asciiTheme="minorHAnsi" w:eastAsia="Times New Roman" w:hAnsiTheme="minorHAnsi" w:cstheme="minorHAnsi"/>
          <w:sz w:val="24"/>
          <w:szCs w:val="24"/>
        </w:rPr>
        <w:t>(</w:t>
      </w:r>
      <w:r w:rsidRPr="00AF5EAE">
        <w:rPr>
          <w:rFonts w:asciiTheme="minorHAnsi" w:eastAsia="Times New Roman" w:hAnsiTheme="minorHAnsi" w:cstheme="minorHAnsi"/>
          <w:sz w:val="24"/>
          <w:szCs w:val="24"/>
        </w:rPr>
        <w:t>50%</w:t>
      </w:r>
      <w:r w:rsidRPr="00AF5EAE">
        <w:rPr>
          <w:rFonts w:asciiTheme="minorHAnsi" w:eastAsia="Times New Roman" w:hAnsiTheme="minorHAnsi" w:cstheme="minorHAnsi"/>
          <w:sz w:val="24"/>
          <w:szCs w:val="24"/>
        </w:rPr>
        <w:t xml:space="preserve"> і більше</w:t>
      </w:r>
      <w:r w:rsidR="00146604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AF5EAE">
        <w:rPr>
          <w:rFonts w:asciiTheme="minorHAnsi" w:eastAsia="Times New Roman" w:hAnsiTheme="minorHAnsi" w:cstheme="minorHAnsi"/>
          <w:sz w:val="24"/>
          <w:szCs w:val="24"/>
        </w:rPr>
        <w:t xml:space="preserve"> отримали </w:t>
      </w:r>
      <w:r w:rsidRPr="00AF5EAE">
        <w:rPr>
          <w:rFonts w:asciiTheme="minorHAnsi" w:eastAsia="Times New Roman" w:hAnsiTheme="minorHAnsi" w:cstheme="minorHAnsi"/>
          <w:sz w:val="24"/>
          <w:szCs w:val="24"/>
        </w:rPr>
        <w:t>три</w:t>
      </w:r>
      <w:r w:rsidR="009936C6" w:rsidRPr="00AF5EAE">
        <w:rPr>
          <w:rFonts w:asciiTheme="minorHAnsi" w:eastAsia="Times New Roman" w:hAnsiTheme="minorHAnsi" w:cstheme="minorHAnsi"/>
          <w:sz w:val="24"/>
          <w:szCs w:val="24"/>
        </w:rPr>
        <w:t xml:space="preserve"> події. </w:t>
      </w:r>
      <w:r w:rsidR="00876C35">
        <w:rPr>
          <w:rFonts w:asciiTheme="minorHAnsi" w:eastAsia="Times New Roman" w:hAnsiTheme="minorHAnsi" w:cstheme="minorHAnsi"/>
          <w:sz w:val="24"/>
          <w:szCs w:val="24"/>
        </w:rPr>
        <w:t>Насамперед</w:t>
      </w:r>
      <w:r w:rsidR="00004CEE" w:rsidRPr="00AA2DA1">
        <w:rPr>
          <w:rFonts w:asciiTheme="minorHAnsi" w:eastAsia="Times New Roman" w:hAnsiTheme="minorHAnsi" w:cstheme="minorHAnsi"/>
          <w:sz w:val="24"/>
          <w:szCs w:val="24"/>
        </w:rPr>
        <w:t xml:space="preserve"> –</w:t>
      </w:r>
      <w:r w:rsidR="009936C6" w:rsidRPr="00AA2DA1">
        <w:rPr>
          <w:rFonts w:asciiTheme="minorHAnsi" w:eastAsia="Times New Roman" w:hAnsiTheme="minorHAnsi" w:cstheme="minorHAnsi"/>
          <w:sz w:val="24"/>
          <w:szCs w:val="24"/>
        </w:rPr>
        <w:t xml:space="preserve"> це</w:t>
      </w:r>
      <w:r w:rsidR="009936C6" w:rsidRPr="00AA2DA1">
        <w:rPr>
          <w:rFonts w:asciiTheme="minorHAnsi" w:hAnsiTheme="minorHAnsi" w:cstheme="minorHAnsi"/>
        </w:rPr>
        <w:t xml:space="preserve"> </w:t>
      </w:r>
      <w:r w:rsidR="00004CEE" w:rsidRPr="00AA2DA1">
        <w:rPr>
          <w:rFonts w:asciiTheme="minorHAnsi" w:eastAsia="Times New Roman" w:hAnsiTheme="minorHAnsi" w:cstheme="minorHAnsi"/>
          <w:sz w:val="24"/>
          <w:szCs w:val="24"/>
        </w:rPr>
        <w:t>м</w:t>
      </w:r>
      <w:r w:rsidR="009936C6" w:rsidRPr="00AA2DA1">
        <w:rPr>
          <w:rFonts w:asciiTheme="minorHAnsi" w:eastAsia="Times New Roman" w:hAnsiTheme="minorHAnsi" w:cstheme="minorHAnsi"/>
          <w:sz w:val="24"/>
          <w:szCs w:val="24"/>
        </w:rPr>
        <w:t>асові акції протестів та мітинги підприємців у зв'язку з запровадженням повного локдауну  (64%); відновлення співпраці України з МВФ (56%) та медичний колапс (заповнення ліжкомісць для хворих на COVID-19 на 100%) (51%). Інші події експ</w:t>
      </w:r>
      <w:r w:rsidR="009A4F95" w:rsidRPr="00AA2DA1">
        <w:rPr>
          <w:rFonts w:asciiTheme="minorHAnsi" w:eastAsia="Times New Roman" w:hAnsiTheme="minorHAnsi" w:cstheme="minorHAnsi"/>
          <w:sz w:val="24"/>
          <w:szCs w:val="24"/>
        </w:rPr>
        <w:t xml:space="preserve">ерти оцінили як менш ймовірні: відставка Кабінету міністрів (46%); </w:t>
      </w:r>
      <w:r w:rsidR="00613DCA" w:rsidRPr="00AA2DA1">
        <w:rPr>
          <w:rFonts w:asciiTheme="minorHAnsi" w:eastAsia="Times New Roman" w:hAnsiTheme="minorHAnsi" w:cstheme="minorHAnsi"/>
          <w:sz w:val="24"/>
          <w:szCs w:val="24"/>
        </w:rPr>
        <w:t>с</w:t>
      </w:r>
      <w:r w:rsidR="009A4F95" w:rsidRPr="00AA2DA1">
        <w:rPr>
          <w:rFonts w:asciiTheme="minorHAnsi" w:eastAsia="Times New Roman" w:hAnsiTheme="minorHAnsi" w:cstheme="minorHAnsi"/>
          <w:sz w:val="24"/>
          <w:szCs w:val="24"/>
        </w:rPr>
        <w:t xml:space="preserve">творення політичної сили членами колишньої команди Президента (44%); </w:t>
      </w:r>
      <w:r w:rsidR="00613DCA" w:rsidRPr="00AA2DA1">
        <w:rPr>
          <w:rFonts w:asciiTheme="minorHAnsi" w:eastAsia="Times New Roman" w:hAnsiTheme="minorHAnsi" w:cstheme="minorHAnsi"/>
          <w:sz w:val="24"/>
          <w:szCs w:val="24"/>
        </w:rPr>
        <w:t>ф</w:t>
      </w:r>
      <w:r w:rsidR="009A4F95" w:rsidRPr="00AA2DA1">
        <w:rPr>
          <w:rFonts w:asciiTheme="minorHAnsi" w:eastAsia="Times New Roman" w:hAnsiTheme="minorHAnsi" w:cstheme="minorHAnsi"/>
          <w:sz w:val="24"/>
          <w:szCs w:val="24"/>
        </w:rPr>
        <w:t xml:space="preserve">актично нереальним є </w:t>
      </w:r>
      <w:r w:rsidR="00613DCA" w:rsidRPr="00AA2DA1">
        <w:rPr>
          <w:rFonts w:asciiTheme="minorHAnsi" w:eastAsia="Times New Roman" w:hAnsiTheme="minorHAnsi" w:cstheme="minorHAnsi"/>
          <w:sz w:val="24"/>
          <w:szCs w:val="24"/>
        </w:rPr>
        <w:t>п</w:t>
      </w:r>
      <w:r w:rsidR="009A4F95" w:rsidRPr="00AA2DA1">
        <w:rPr>
          <w:rFonts w:asciiTheme="minorHAnsi" w:eastAsia="Times New Roman" w:hAnsiTheme="minorHAnsi" w:cstheme="minorHAnsi"/>
          <w:sz w:val="24"/>
          <w:szCs w:val="24"/>
        </w:rPr>
        <w:t>роведення місцевих виборів в ОРДЛО до 31 березня 2021 року – 19%.</w:t>
      </w:r>
    </w:p>
    <w:p w:rsidR="0086265F" w:rsidRPr="00AA2DA1" w:rsidRDefault="0086265F" w:rsidP="0086265F">
      <w:pPr>
        <w:pStyle w:val="a4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bookmarkStart w:id="0" w:name="_GoBack"/>
      <w:r>
        <w:rPr>
          <w:rFonts w:asciiTheme="minorHAnsi" w:eastAsia="Times New Roman" w:hAnsiTheme="minorHAnsi" w:cstheme="minorHAnsi"/>
          <w:i/>
          <w:noProof/>
          <w:sz w:val="24"/>
          <w:szCs w:val="24"/>
        </w:rPr>
        <w:drawing>
          <wp:inline distT="0" distB="0" distL="0" distR="0">
            <wp:extent cx="5940425" cy="475234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цінка ймовірності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562F5" w:rsidRPr="00AA2DA1" w:rsidRDefault="00613DCA" w:rsidP="0074712C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Серед </w:t>
      </w:r>
      <w:r w:rsidR="00B562F5" w:rsidRPr="00AA2DA1">
        <w:rPr>
          <w:rFonts w:asciiTheme="minorHAnsi" w:eastAsia="Times New Roman" w:hAnsiTheme="minorHAnsi" w:cstheme="minorHAnsi"/>
          <w:sz w:val="24"/>
          <w:szCs w:val="24"/>
        </w:rPr>
        <w:t>ключо</w:t>
      </w:r>
      <w:r w:rsidR="0074712C" w:rsidRPr="00AA2DA1">
        <w:rPr>
          <w:rFonts w:asciiTheme="minorHAnsi" w:eastAsia="Times New Roman" w:hAnsiTheme="minorHAnsi" w:cstheme="minorHAnsi"/>
          <w:sz w:val="24"/>
          <w:szCs w:val="24"/>
        </w:rPr>
        <w:t xml:space="preserve">вих показників життя в Україні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 експерти найвище оцінили </w:t>
      </w:r>
      <w:r w:rsidR="0074712C" w:rsidRPr="00AA2DA1">
        <w:rPr>
          <w:rFonts w:asciiTheme="minorHAnsi" w:eastAsia="Times New Roman" w:hAnsiTheme="minorHAnsi" w:cstheme="minorHAnsi"/>
          <w:sz w:val="24"/>
          <w:szCs w:val="24"/>
        </w:rPr>
        <w:t>рів</w:t>
      </w:r>
      <w:r w:rsidR="00FB74CA" w:rsidRPr="00AA2DA1">
        <w:rPr>
          <w:rFonts w:asciiTheme="minorHAnsi" w:eastAsia="Times New Roman" w:hAnsiTheme="minorHAnsi" w:cstheme="minorHAnsi"/>
          <w:sz w:val="24"/>
          <w:szCs w:val="24"/>
        </w:rPr>
        <w:t xml:space="preserve">ень </w:t>
      </w:r>
      <w:r w:rsidR="0074712C" w:rsidRPr="00AA2DA1">
        <w:rPr>
          <w:rFonts w:asciiTheme="minorHAnsi" w:eastAsia="Times New Roman" w:hAnsiTheme="minorHAnsi" w:cstheme="minorHAnsi"/>
          <w:sz w:val="24"/>
          <w:szCs w:val="24"/>
        </w:rPr>
        <w:t xml:space="preserve">свободи слова (6,4 бала </w:t>
      </w:r>
      <w:r w:rsidR="00FB74CA" w:rsidRPr="00AA2DA1">
        <w:rPr>
          <w:rFonts w:asciiTheme="minorHAnsi" w:eastAsia="Times New Roman" w:hAnsiTheme="minorHAnsi" w:cstheme="minorHAnsi"/>
          <w:sz w:val="24"/>
          <w:szCs w:val="24"/>
        </w:rPr>
        <w:t xml:space="preserve">за </w:t>
      </w:r>
      <w:r w:rsidR="0074712C" w:rsidRPr="00AA2DA1">
        <w:rPr>
          <w:rFonts w:asciiTheme="minorHAnsi" w:eastAsia="Times New Roman" w:hAnsiTheme="minorHAnsi" w:cstheme="minorHAnsi"/>
          <w:sz w:val="24"/>
          <w:szCs w:val="24"/>
        </w:rPr>
        <w:t>10</w:t>
      </w:r>
      <w:r w:rsidR="00FB74CA" w:rsidRPr="00AA2DA1">
        <w:rPr>
          <w:rFonts w:asciiTheme="minorHAnsi" w:eastAsia="Times New Roman" w:hAnsiTheme="minorHAnsi" w:cstheme="minorHAnsi"/>
          <w:sz w:val="24"/>
          <w:szCs w:val="24"/>
        </w:rPr>
        <w:t>-</w:t>
      </w:r>
      <w:r w:rsidR="0074712C" w:rsidRPr="00AA2DA1">
        <w:rPr>
          <w:rFonts w:asciiTheme="minorHAnsi" w:eastAsia="Times New Roman" w:hAnsiTheme="minorHAnsi" w:cstheme="minorHAnsi"/>
          <w:sz w:val="24"/>
          <w:szCs w:val="24"/>
        </w:rPr>
        <w:t>бальн</w:t>
      </w:r>
      <w:r w:rsidR="00FB74CA" w:rsidRPr="00AA2DA1">
        <w:rPr>
          <w:rFonts w:asciiTheme="minorHAnsi" w:eastAsia="Times New Roman" w:hAnsiTheme="minorHAnsi" w:cstheme="minorHAnsi"/>
          <w:sz w:val="24"/>
          <w:szCs w:val="24"/>
        </w:rPr>
        <w:t>ою шкалою</w:t>
      </w:r>
      <w:r w:rsidR="0074712C" w:rsidRPr="00AA2DA1">
        <w:rPr>
          <w:rFonts w:asciiTheme="minorHAnsi" w:eastAsia="Times New Roman" w:hAnsiTheme="minorHAnsi" w:cstheme="minorHAnsi"/>
          <w:sz w:val="24"/>
          <w:szCs w:val="24"/>
        </w:rPr>
        <w:t>)</w:t>
      </w:r>
      <w:r w:rsidR="00FB74CA" w:rsidRPr="00AA2DA1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74712C" w:rsidRPr="00AA2DA1">
        <w:rPr>
          <w:rFonts w:asciiTheme="minorHAnsi" w:eastAsia="Times New Roman" w:hAnsiTheme="minorHAnsi" w:cstheme="minorHAnsi"/>
          <w:sz w:val="24"/>
          <w:szCs w:val="24"/>
        </w:rPr>
        <w:t>рів</w:t>
      </w:r>
      <w:r w:rsidR="00FB74CA" w:rsidRPr="00AA2DA1">
        <w:rPr>
          <w:rFonts w:asciiTheme="minorHAnsi" w:eastAsia="Times New Roman" w:hAnsiTheme="minorHAnsi" w:cstheme="minorHAnsi"/>
          <w:sz w:val="24"/>
          <w:szCs w:val="24"/>
        </w:rPr>
        <w:t xml:space="preserve">ень </w:t>
      </w:r>
      <w:r w:rsidR="0074712C" w:rsidRPr="00AA2DA1">
        <w:rPr>
          <w:rFonts w:asciiTheme="minorHAnsi" w:eastAsia="Times New Roman" w:hAnsiTheme="minorHAnsi" w:cstheme="minorHAnsi"/>
          <w:sz w:val="24"/>
          <w:szCs w:val="24"/>
        </w:rPr>
        <w:t>демократії (5,4) та свобод</w:t>
      </w:r>
      <w:r w:rsidR="00FB74CA" w:rsidRPr="00AA2DA1">
        <w:rPr>
          <w:rFonts w:asciiTheme="minorHAnsi" w:eastAsia="Times New Roman" w:hAnsiTheme="minorHAnsi" w:cstheme="minorHAnsi"/>
          <w:sz w:val="24"/>
          <w:szCs w:val="24"/>
        </w:rPr>
        <w:t>у</w:t>
      </w:r>
      <w:r w:rsidR="0074712C" w:rsidRPr="00AA2DA1">
        <w:rPr>
          <w:rFonts w:asciiTheme="minorHAnsi" w:eastAsia="Times New Roman" w:hAnsiTheme="minorHAnsi" w:cstheme="minorHAnsi"/>
          <w:sz w:val="24"/>
          <w:szCs w:val="24"/>
        </w:rPr>
        <w:t xml:space="preserve"> підприємництва (5,2). Інші показники дещо менш оптимістичні. Експерти відзначають високий рівень корупції (7,7) та низький рівень дотримання законності – 3,2. Рівень економічного розвитку, як і рівень прогнозованості розвитку держави на наступний рік теж є вкрай низькими – 3,6 бала.</w:t>
      </w:r>
    </w:p>
    <w:p w:rsidR="009A4F95" w:rsidRPr="00AA2DA1" w:rsidRDefault="009A4F95" w:rsidP="0074712C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Більшість </w:t>
      </w:r>
      <w:r w:rsidR="006B122C" w:rsidRPr="00AA2DA1">
        <w:rPr>
          <w:rFonts w:asciiTheme="minorHAnsi" w:eastAsia="Times New Roman" w:hAnsiTheme="minorHAnsi" w:cstheme="minorHAnsi"/>
          <w:sz w:val="24"/>
          <w:szCs w:val="24"/>
        </w:rPr>
        <w:t>визнач</w:t>
      </w:r>
      <w:r w:rsidR="00FB74CA" w:rsidRPr="00AA2DA1">
        <w:rPr>
          <w:rFonts w:asciiTheme="minorHAnsi" w:eastAsia="Times New Roman" w:hAnsiTheme="minorHAnsi" w:cstheme="minorHAnsi"/>
          <w:sz w:val="24"/>
          <w:szCs w:val="24"/>
        </w:rPr>
        <w:t>альних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 показників розвитку країни, </w:t>
      </w:r>
      <w:r w:rsidR="006B122C" w:rsidRPr="00AA2DA1">
        <w:rPr>
          <w:rFonts w:asciiTheme="minorHAnsi" w:eastAsia="Times New Roman" w:hAnsiTheme="minorHAnsi" w:cstheme="minorHAnsi"/>
          <w:sz w:val="24"/>
          <w:szCs w:val="24"/>
        </w:rPr>
        <w:t>за оцінками експертів, погіршила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сь впродовж останнього року. Покращення можна спостерігати тільки </w:t>
      </w:r>
      <w:r w:rsidR="00B562F5" w:rsidRPr="00AA2DA1">
        <w:rPr>
          <w:rFonts w:asciiTheme="minorHAnsi" w:eastAsia="Times New Roman" w:hAnsiTheme="minorHAnsi" w:cstheme="minorHAnsi"/>
          <w:sz w:val="24"/>
          <w:szCs w:val="24"/>
        </w:rPr>
        <w:t xml:space="preserve">в оцінці </w:t>
      </w:r>
      <w:r w:rsidR="006B122C" w:rsidRPr="00AA2DA1">
        <w:rPr>
          <w:rFonts w:asciiTheme="minorHAnsi" w:eastAsia="Times New Roman" w:hAnsiTheme="minorHAnsi" w:cstheme="minorHAnsi"/>
          <w:sz w:val="24"/>
          <w:szCs w:val="24"/>
        </w:rPr>
        <w:t>рівня свободи слова (+0,5 пункту</w:t>
      </w:r>
      <w:r w:rsidR="00B562F5" w:rsidRPr="00AA2DA1">
        <w:rPr>
          <w:rFonts w:asciiTheme="minorHAnsi" w:eastAsia="Times New Roman" w:hAnsiTheme="minorHAnsi" w:cstheme="minorHAnsi"/>
          <w:sz w:val="24"/>
          <w:szCs w:val="24"/>
        </w:rPr>
        <w:t>) та в оцінці рівня свободи підприємництва (+0,3 пункт</w:t>
      </w:r>
      <w:r w:rsidR="006B122C" w:rsidRPr="00AA2DA1">
        <w:rPr>
          <w:rFonts w:asciiTheme="minorHAnsi" w:eastAsia="Times New Roman" w:hAnsiTheme="minorHAnsi" w:cstheme="minorHAnsi"/>
          <w:sz w:val="24"/>
          <w:szCs w:val="24"/>
        </w:rPr>
        <w:t>у</w:t>
      </w:r>
      <w:r w:rsidR="00B562F5" w:rsidRPr="00AA2DA1">
        <w:rPr>
          <w:rFonts w:asciiTheme="minorHAnsi" w:eastAsia="Times New Roman" w:hAnsiTheme="minorHAnsi" w:cstheme="minorHAnsi"/>
          <w:sz w:val="24"/>
          <w:szCs w:val="24"/>
        </w:rPr>
        <w:t>). Рівень економічного розвитку зменшився на 1,0 пункт. Рівень корупції збільшився на 0,4 пункт</w:t>
      </w:r>
      <w:r w:rsidR="006B122C" w:rsidRPr="00AA2DA1">
        <w:rPr>
          <w:rFonts w:asciiTheme="minorHAnsi" w:eastAsia="Times New Roman" w:hAnsiTheme="minorHAnsi" w:cstheme="minorHAnsi"/>
          <w:sz w:val="24"/>
          <w:szCs w:val="24"/>
        </w:rPr>
        <w:t>у</w:t>
      </w:r>
      <w:r w:rsidR="00B562F5" w:rsidRPr="00AA2DA1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B562F5" w:rsidRPr="00AA2DA1" w:rsidRDefault="0074712C" w:rsidP="00455217">
      <w:pPr>
        <w:pStyle w:val="a4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Найкращими рішеннями року з переліку запропонованих експерти обрали </w:t>
      </w:r>
      <w:r w:rsidR="00B22590" w:rsidRPr="00AA2DA1">
        <w:rPr>
          <w:rFonts w:asciiTheme="minorHAnsi" w:eastAsia="Times New Roman" w:hAnsiTheme="minorHAnsi" w:cstheme="minorHAnsi"/>
          <w:sz w:val="24"/>
          <w:szCs w:val="24"/>
        </w:rPr>
        <w:t xml:space="preserve">ухвалення </w:t>
      </w:r>
      <w:r w:rsidR="00736805">
        <w:rPr>
          <w:rFonts w:asciiTheme="minorHAnsi" w:eastAsia="Times New Roman" w:hAnsiTheme="minorHAnsi" w:cstheme="minorHAnsi"/>
          <w:sz w:val="24"/>
          <w:szCs w:val="24"/>
        </w:rPr>
        <w:t>так званого антиколомойського закону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, невизнання українською владою результатів виборів у Білорусі та </w:t>
      </w:r>
      <w:r w:rsidR="00B22590" w:rsidRPr="00AA2DA1">
        <w:rPr>
          <w:rFonts w:asciiTheme="minorHAnsi" w:eastAsia="Times New Roman" w:hAnsiTheme="minorHAnsi" w:cstheme="minorHAnsi"/>
          <w:sz w:val="24"/>
          <w:szCs w:val="24"/>
        </w:rPr>
        <w:t>ухвалення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 Закону про ринок землі. Найгірші рішення з цього переліку переважно кадрові: зміна Генпрокурора з Р. Рябошапки на І. Венедіктову, а також зміна уряду О. Гончарука на Д. Шмигаля. Ще одним поганим рішенням є рішення КСУ щодо неконституційності окремих положень Закону України «Про запобігання корупції».</w:t>
      </w:r>
    </w:p>
    <w:p w:rsidR="00B562F5" w:rsidRPr="00AA2DA1" w:rsidRDefault="00B562F5" w:rsidP="0074712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i/>
          <w:sz w:val="24"/>
          <w:szCs w:val="24"/>
        </w:rPr>
      </w:pPr>
    </w:p>
    <w:p w:rsidR="00C85782" w:rsidRPr="00AA2DA1" w:rsidRDefault="0086265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noProof/>
          <w:sz w:val="20"/>
          <w:szCs w:val="20"/>
        </w:rPr>
        <w:drawing>
          <wp:inline distT="0" distB="0" distL="0" distR="0">
            <wp:extent cx="5940425" cy="572008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ішення року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2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217" w:rsidRPr="00AA2DA1" w:rsidRDefault="0045521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55217" w:rsidRPr="00AA2DA1" w:rsidRDefault="0045521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55217" w:rsidRPr="00AA2DA1" w:rsidRDefault="0045521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55217" w:rsidRPr="00AA2DA1" w:rsidRDefault="0045521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455217" w:rsidRPr="00AA2DA1" w:rsidRDefault="0045521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86265F" w:rsidRDefault="0086265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86265F" w:rsidRDefault="0086265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86265F" w:rsidRDefault="0086265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C85782" w:rsidRPr="00AA2DA1" w:rsidRDefault="00CA31F6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РЕЗУЛЬТАТИ ОПИТУВАННЯ</w:t>
      </w:r>
    </w:p>
    <w:p w:rsidR="00C85782" w:rsidRPr="00AA2DA1" w:rsidRDefault="00C8578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sz w:val="20"/>
          <w:szCs w:val="20"/>
        </w:rPr>
      </w:pPr>
    </w:p>
    <w:p w:rsidR="00C85782" w:rsidRPr="00736805" w:rsidRDefault="00BA14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736805">
        <w:rPr>
          <w:rFonts w:asciiTheme="minorHAnsi" w:eastAsia="Times New Roman" w:hAnsiTheme="minorHAnsi" w:cstheme="minorHAnsi"/>
          <w:b/>
          <w:sz w:val="24"/>
          <w:szCs w:val="24"/>
        </w:rPr>
        <w:t xml:space="preserve">Оцініть ефективність діяльності Президента Володимира Зеленського впродовж жовтня-грудня 2020 року в </w:t>
      </w:r>
      <w:r w:rsidR="00AC1456" w:rsidRPr="00736805">
        <w:rPr>
          <w:rFonts w:asciiTheme="minorHAnsi" w:eastAsia="Times New Roman" w:hAnsiTheme="minorHAnsi" w:cstheme="minorHAnsi"/>
          <w:b/>
          <w:sz w:val="24"/>
          <w:szCs w:val="24"/>
        </w:rPr>
        <w:t>таких</w:t>
      </w:r>
      <w:r w:rsidRPr="00736805">
        <w:rPr>
          <w:rFonts w:asciiTheme="minorHAnsi" w:eastAsia="Times New Roman" w:hAnsiTheme="minorHAnsi" w:cstheme="minorHAnsi"/>
          <w:b/>
          <w:sz w:val="24"/>
          <w:szCs w:val="24"/>
        </w:rPr>
        <w:t xml:space="preserve"> сферах:</w:t>
      </w:r>
    </w:p>
    <w:p w:rsidR="00C85782" w:rsidRPr="00736805" w:rsidRDefault="00C8578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ae"/>
        <w:tblW w:w="10348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7"/>
        <w:gridCol w:w="993"/>
        <w:gridCol w:w="1134"/>
        <w:gridCol w:w="1134"/>
        <w:gridCol w:w="1134"/>
        <w:gridCol w:w="1134"/>
        <w:gridCol w:w="850"/>
        <w:gridCol w:w="992"/>
      </w:tblGrid>
      <w:tr w:rsidR="009655F0" w:rsidRPr="00736805" w:rsidTr="009655F0">
        <w:trPr>
          <w:trHeight w:val="500"/>
        </w:trPr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736805">
              <w:rPr>
                <w:rFonts w:asciiTheme="minorHAnsi" w:eastAsia="Times New Roman" w:hAnsiTheme="minorHAnsi" w:cstheme="minorHAnsi"/>
                <w:b/>
              </w:rPr>
              <w:t>1 - дуже неефективно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736805">
              <w:rPr>
                <w:rFonts w:asciiTheme="minorHAnsi" w:eastAsia="Times New Roman" w:hAnsiTheme="minorHAnsi" w:cstheme="minorHAnsi"/>
                <w:b/>
              </w:rPr>
              <w:t>2 – загалом неефективно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736805">
              <w:rPr>
                <w:rFonts w:asciiTheme="minorHAnsi" w:eastAsia="Times New Roman" w:hAnsiTheme="minorHAnsi" w:cstheme="minorHAnsi"/>
                <w:b/>
              </w:rPr>
              <w:t>3 - посередньо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736805">
              <w:rPr>
                <w:rFonts w:asciiTheme="minorHAnsi" w:eastAsia="Times New Roman" w:hAnsiTheme="minorHAnsi" w:cstheme="minorHAnsi"/>
                <w:b/>
              </w:rPr>
              <w:t>4 – загалом ефективно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736805">
              <w:rPr>
                <w:rFonts w:asciiTheme="minorHAnsi" w:eastAsia="Times New Roman" w:hAnsiTheme="minorHAnsi" w:cstheme="minorHAnsi"/>
                <w:b/>
              </w:rPr>
              <w:t>5 - дуже ефективно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736805">
              <w:rPr>
                <w:rFonts w:asciiTheme="minorHAnsi" w:eastAsia="Times New Roman" w:hAnsiTheme="minorHAnsi" w:cstheme="minorHAnsi"/>
                <w:b/>
              </w:rPr>
              <w:t>Важко відповісти</w:t>
            </w:r>
          </w:p>
        </w:tc>
        <w:tc>
          <w:tcPr>
            <w:tcW w:w="992" w:type="dxa"/>
          </w:tcPr>
          <w:p w:rsidR="009655F0" w:rsidRPr="00736805" w:rsidRDefault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736805">
              <w:rPr>
                <w:rFonts w:asciiTheme="minorHAnsi" w:eastAsia="Times New Roman" w:hAnsiTheme="minorHAnsi" w:cstheme="minorHAnsi"/>
                <w:b/>
              </w:rPr>
              <w:t>Середня оцінка</w:t>
            </w:r>
          </w:p>
        </w:tc>
      </w:tr>
      <w:tr w:rsidR="009655F0" w:rsidRPr="00736805" w:rsidTr="009655F0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Комунікація з суспільством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19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992" w:type="dxa"/>
          </w:tcPr>
          <w:p w:rsidR="009655F0" w:rsidRPr="00736805" w:rsidRDefault="009655F0" w:rsidP="009655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6805">
              <w:rPr>
                <w:rFonts w:asciiTheme="minorHAnsi" w:hAnsiTheme="minorHAnsi" w:cstheme="minorHAnsi"/>
                <w:b/>
              </w:rPr>
              <w:t>2,5</w:t>
            </w:r>
          </w:p>
        </w:tc>
      </w:tr>
      <w:tr w:rsidR="009655F0" w:rsidRPr="00736805" w:rsidTr="009655F0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Боротьба з епідемією COVID-19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17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14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92" w:type="dxa"/>
          </w:tcPr>
          <w:p w:rsidR="009655F0" w:rsidRPr="00736805" w:rsidRDefault="009655F0" w:rsidP="009655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6805">
              <w:rPr>
                <w:rFonts w:asciiTheme="minorHAnsi" w:hAnsiTheme="minorHAnsi" w:cstheme="minorHAnsi"/>
                <w:b/>
              </w:rPr>
              <w:t>2,0</w:t>
            </w:r>
          </w:p>
        </w:tc>
      </w:tr>
      <w:tr w:rsidR="009655F0" w:rsidRPr="00736805" w:rsidTr="009655F0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Ведення зовнішньої політики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992" w:type="dxa"/>
          </w:tcPr>
          <w:p w:rsidR="009655F0" w:rsidRPr="00736805" w:rsidRDefault="009655F0" w:rsidP="009655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6805">
              <w:rPr>
                <w:rFonts w:asciiTheme="minorHAnsi" w:hAnsiTheme="minorHAnsi" w:cstheme="minorHAnsi"/>
                <w:b/>
              </w:rPr>
              <w:t>2,2</w:t>
            </w:r>
          </w:p>
        </w:tc>
      </w:tr>
      <w:tr w:rsidR="009655F0" w:rsidRPr="00736805" w:rsidTr="009655F0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Ініціювання необхідних реформ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20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92" w:type="dxa"/>
          </w:tcPr>
          <w:p w:rsidR="009655F0" w:rsidRPr="00736805" w:rsidRDefault="009655F0" w:rsidP="009655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6805">
              <w:rPr>
                <w:rFonts w:asciiTheme="minorHAnsi" w:hAnsiTheme="minorHAnsi" w:cstheme="minorHAnsi"/>
                <w:b/>
              </w:rPr>
              <w:t>1,8</w:t>
            </w:r>
          </w:p>
        </w:tc>
      </w:tr>
      <w:tr w:rsidR="009655F0" w:rsidRPr="00736805" w:rsidTr="009655F0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Врегулювання збройного конфлікту на Донбасі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11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18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992" w:type="dxa"/>
          </w:tcPr>
          <w:p w:rsidR="009655F0" w:rsidRPr="00736805" w:rsidRDefault="009655F0" w:rsidP="009655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6805">
              <w:rPr>
                <w:rFonts w:asciiTheme="minorHAnsi" w:hAnsiTheme="minorHAnsi" w:cstheme="minorHAnsi"/>
                <w:b/>
              </w:rPr>
              <w:t>2,2</w:t>
            </w:r>
          </w:p>
        </w:tc>
      </w:tr>
      <w:tr w:rsidR="009655F0" w:rsidRPr="00736805" w:rsidTr="009655F0"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Кадрова політика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36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18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55F0" w:rsidRPr="00736805" w:rsidRDefault="009655F0" w:rsidP="0096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</w:rPr>
            </w:pPr>
            <w:r w:rsidRPr="00736805">
              <w:rPr>
                <w:rFonts w:asciiTheme="minorHAnsi" w:eastAsia="Times New Roman" w:hAnsiTheme="minorHAnsi" w:cstheme="minorHAnsi"/>
              </w:rPr>
              <w:t>1</w:t>
            </w:r>
          </w:p>
        </w:tc>
        <w:tc>
          <w:tcPr>
            <w:tcW w:w="992" w:type="dxa"/>
          </w:tcPr>
          <w:p w:rsidR="009655F0" w:rsidRPr="00736805" w:rsidRDefault="009655F0" w:rsidP="009655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36805">
              <w:rPr>
                <w:rFonts w:asciiTheme="minorHAnsi" w:hAnsiTheme="minorHAnsi" w:cstheme="minorHAnsi"/>
                <w:b/>
              </w:rPr>
              <w:t>1,4</w:t>
            </w:r>
          </w:p>
        </w:tc>
      </w:tr>
    </w:tbl>
    <w:p w:rsidR="009655F0" w:rsidRPr="00736805" w:rsidRDefault="009655F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color w:val="202124"/>
          <w:sz w:val="24"/>
          <w:szCs w:val="24"/>
          <w:highlight w:val="white"/>
        </w:rPr>
      </w:pPr>
    </w:p>
    <w:p w:rsidR="00C85782" w:rsidRPr="00736805" w:rsidRDefault="00BA14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b/>
          <w:color w:val="202124"/>
          <w:sz w:val="24"/>
          <w:szCs w:val="24"/>
          <w:highlight w:val="white"/>
        </w:rPr>
      </w:pPr>
      <w:r w:rsidRPr="00736805">
        <w:rPr>
          <w:rFonts w:asciiTheme="minorHAnsi" w:eastAsia="Times New Roman" w:hAnsiTheme="minorHAnsi" w:cstheme="minorHAnsi"/>
          <w:b/>
          <w:color w:val="202124"/>
          <w:sz w:val="24"/>
          <w:szCs w:val="24"/>
        </w:rPr>
        <w:t>Як Ви вважаєте, НАСКІЛЬКИ СУТТЄВИМ буде вплив на політичну ситуацію в Україні таких подій впродовж найближчого року?</w:t>
      </w:r>
    </w:p>
    <w:p w:rsidR="00C85782" w:rsidRPr="00736805" w:rsidRDefault="00C8578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Times New Roman" w:hAnsiTheme="minorHAnsi" w:cstheme="minorHAnsi"/>
          <w:color w:val="202124"/>
          <w:sz w:val="24"/>
          <w:szCs w:val="24"/>
          <w:highlight w:val="white"/>
        </w:rPr>
      </w:pPr>
    </w:p>
    <w:tbl>
      <w:tblPr>
        <w:tblStyle w:val="af"/>
        <w:tblW w:w="10065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4"/>
        <w:gridCol w:w="1134"/>
        <w:gridCol w:w="1134"/>
        <w:gridCol w:w="993"/>
        <w:gridCol w:w="992"/>
        <w:gridCol w:w="1134"/>
        <w:gridCol w:w="1134"/>
      </w:tblGrid>
      <w:tr w:rsidR="00C85782" w:rsidRPr="00736805" w:rsidTr="00822A99"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85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rPr>
                <w:rFonts w:asciiTheme="minorHAnsi" w:eastAsia="Times New Roman" w:hAnsiTheme="minorHAnsi" w:cstheme="minorHAnsi"/>
                <w:color w:val="202124"/>
                <w:highlight w:val="whit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BA144E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736805">
              <w:rPr>
                <w:rFonts w:asciiTheme="minorHAnsi" w:eastAsia="Times New Roman" w:hAnsiTheme="minorHAnsi" w:cstheme="minorHAnsi"/>
                <w:b/>
              </w:rPr>
              <w:t>1 - не матиме жодного впливу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BA144E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2 - незначний вплив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BA144E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3 - середній вплив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BA144E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4 - значний вплив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BA144E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5 - вирішальний вплив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BA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jc w:val="center"/>
              <w:rPr>
                <w:rFonts w:asciiTheme="minorHAnsi" w:eastAsia="Times New Roman" w:hAnsiTheme="minorHAnsi" w:cstheme="minorHAnsi"/>
                <w:b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важко відповісти</w:t>
            </w:r>
          </w:p>
        </w:tc>
      </w:tr>
      <w:tr w:rsidR="00C85782" w:rsidRPr="00736805" w:rsidTr="00822A99"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BA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2021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highlight w:val="white"/>
              </w:rPr>
              <w:t>Обрання Президентом Сполучених Штатів Америки Джозефа Байдена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highlight w:val="white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33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0</w:t>
            </w:r>
          </w:p>
        </w:tc>
      </w:tr>
      <w:tr w:rsidR="00C85782" w:rsidRPr="00736805" w:rsidTr="00822A99"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BA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2021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highlight w:val="white"/>
              </w:rPr>
              <w:t xml:space="preserve">Заяви Росії про створення «вакцини» від COVID-19 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highlight w:val="white"/>
              </w:rPr>
              <w:t>18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0</w:t>
            </w:r>
          </w:p>
        </w:tc>
      </w:tr>
      <w:tr w:rsidR="00C85782" w:rsidRPr="00736805" w:rsidTr="00822A99"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BA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2021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highlight w:val="white"/>
              </w:rPr>
              <w:t>Рішення КСУ про визнання неконституційними окремих положень закону “Про запобігання корупції”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highlight w:val="white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</w:t>
            </w:r>
          </w:p>
        </w:tc>
      </w:tr>
      <w:tr w:rsidR="00C85782" w:rsidRPr="00736805" w:rsidTr="00822A99"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BA144E" w:rsidP="002F0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2021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</w:rPr>
              <w:t>Сві</w:t>
            </w:r>
            <w:r w:rsidR="002F0886" w:rsidRPr="00736805">
              <w:rPr>
                <w:rFonts w:asciiTheme="minorHAnsi" w:eastAsia="Times New Roman" w:hAnsiTheme="minorHAnsi" w:cstheme="minorHAnsi"/>
                <w:color w:val="202124"/>
              </w:rPr>
              <w:t>дчення екс-голови «</w:t>
            </w:r>
            <w:r w:rsidRPr="00736805">
              <w:rPr>
                <w:rFonts w:asciiTheme="minorHAnsi" w:eastAsia="Times New Roman" w:hAnsiTheme="minorHAnsi" w:cstheme="minorHAnsi"/>
                <w:color w:val="202124"/>
              </w:rPr>
              <w:t>Укрбуду</w:t>
            </w:r>
            <w:r w:rsidR="002F0886" w:rsidRPr="00736805">
              <w:rPr>
                <w:rFonts w:asciiTheme="minorHAnsi" w:eastAsia="Times New Roman" w:hAnsiTheme="minorHAnsi" w:cstheme="minorHAnsi"/>
                <w:color w:val="202124"/>
              </w:rPr>
              <w:t>»</w:t>
            </w:r>
            <w:r w:rsidRPr="00736805">
              <w:rPr>
                <w:rFonts w:asciiTheme="minorHAnsi" w:eastAsia="Times New Roman" w:hAnsiTheme="minorHAnsi" w:cstheme="minorHAnsi"/>
                <w:color w:val="202124"/>
              </w:rPr>
              <w:t xml:space="preserve"> М. Микитася проти колишніх та нинішніх високопосадовців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highlight w:val="white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28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CA3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4</w:t>
            </w:r>
          </w:p>
        </w:tc>
      </w:tr>
      <w:tr w:rsidR="00C85782" w:rsidRPr="00736805" w:rsidTr="00822A99"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BA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202124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</w:rPr>
              <w:t>Перемога місцевих політичних проєктів на виборах у більшості регіонів та найбільших містах України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745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highlight w:val="white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745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745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745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27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745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36805" w:rsidRDefault="00745A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3680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0</w:t>
            </w:r>
          </w:p>
        </w:tc>
      </w:tr>
    </w:tbl>
    <w:p w:rsidR="00C85782" w:rsidRPr="00786225" w:rsidRDefault="00BA144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imes New Roman" w:hAnsiTheme="minorHAnsi" w:cstheme="minorHAnsi"/>
          <w:b/>
          <w:color w:val="202124"/>
          <w:sz w:val="24"/>
          <w:szCs w:val="24"/>
        </w:rPr>
      </w:pPr>
      <w:r w:rsidRPr="00786225">
        <w:rPr>
          <w:rFonts w:asciiTheme="minorHAnsi" w:eastAsia="Times New Roman" w:hAnsiTheme="minorHAnsi" w:cstheme="minorHAnsi"/>
          <w:b/>
          <w:color w:val="202124"/>
          <w:sz w:val="24"/>
          <w:szCs w:val="24"/>
        </w:rPr>
        <w:lastRenderedPageBreak/>
        <w:t>Як Ви вважаєте, буде більше позитивного чи негативного впливу на політичну ситуацію в Україні в короткостроковій перспективі (впродовж року) таких подій?</w:t>
      </w:r>
    </w:p>
    <w:tbl>
      <w:tblPr>
        <w:tblStyle w:val="af0"/>
        <w:tblW w:w="10065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4"/>
        <w:gridCol w:w="993"/>
        <w:gridCol w:w="992"/>
        <w:gridCol w:w="1276"/>
        <w:gridCol w:w="992"/>
        <w:gridCol w:w="1134"/>
        <w:gridCol w:w="1134"/>
      </w:tblGrid>
      <w:tr w:rsidR="00822A99" w:rsidRPr="00786225" w:rsidTr="00822A99"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C857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BA144E" w:rsidP="008E047E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1 </w:t>
            </w:r>
            <w:r w:rsidR="008E047E"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–</w:t>
            </w:r>
            <w:r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8E047E"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повністю негативний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BA144E" w:rsidP="008E047E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2 </w:t>
            </w:r>
            <w:r w:rsidR="008E047E"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–</w:t>
            </w:r>
            <w:r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8E047E"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скоріше негативний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BA144E" w:rsidP="008E047E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3 </w:t>
            </w:r>
            <w:r w:rsidR="008E047E"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–</w:t>
            </w:r>
            <w:r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8E047E"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позитиву та негативу буде приблизно порівну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BA144E" w:rsidP="008E047E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4 </w:t>
            </w:r>
            <w:r w:rsidR="008E047E"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–</w:t>
            </w:r>
            <w:r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8E047E"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швидше позитивний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BA144E" w:rsidP="008E047E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5 </w:t>
            </w:r>
            <w:r w:rsidR="008E047E"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–</w:t>
            </w:r>
            <w:r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r w:rsidR="008E047E"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повністю позитивний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BA144E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jc w:val="center"/>
              <w:rPr>
                <w:rFonts w:asciiTheme="minorHAnsi" w:eastAsia="Times New Roman" w:hAnsiTheme="minorHAnsi" w:cstheme="minorHAnsi"/>
                <w:b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важко відповісти</w:t>
            </w:r>
          </w:p>
        </w:tc>
      </w:tr>
      <w:tr w:rsidR="00822A99" w:rsidRPr="00786225" w:rsidTr="00822A99"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BA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Обрання Президентом Сполучених Штатів Америки Джозефа Байдена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36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7</w:t>
            </w:r>
          </w:p>
        </w:tc>
      </w:tr>
      <w:tr w:rsidR="00822A99" w:rsidRPr="00786225" w:rsidTr="00822A99"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BA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 xml:space="preserve">Заяви Росії про створення «вакцини» від COVID-19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15</w:t>
            </w:r>
          </w:p>
        </w:tc>
      </w:tr>
      <w:tr w:rsidR="00822A99" w:rsidRPr="00786225" w:rsidTr="00822A99"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BA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Рішення КСУ про визнання неконституц</w:t>
            </w:r>
            <w:r w:rsidR="002F0886"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ійними окремих положень закону «Про запобігання корупції»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7</w:t>
            </w:r>
          </w:p>
        </w:tc>
      </w:tr>
      <w:tr w:rsidR="00822A99" w:rsidRPr="00786225" w:rsidTr="00822A99"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BA14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  <w:t xml:space="preserve">Свідчення екс-голови </w:t>
            </w:r>
            <w:r w:rsidR="00455217"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  <w:t>«</w:t>
            </w: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  <w:t>Укрбуду</w:t>
            </w:r>
            <w:r w:rsidR="00455217"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  <w:t xml:space="preserve">»     </w:t>
            </w: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  <w:t xml:space="preserve"> М. Микитася проти колишніх та нинішніх високопосадовців 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16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12</w:t>
            </w:r>
          </w:p>
        </w:tc>
      </w:tr>
      <w:tr w:rsidR="00822A99" w:rsidRPr="00786225" w:rsidTr="00822A99"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BA144E">
            <w:pPr>
              <w:widowControl w:val="0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</w:rPr>
              <w:t>Перемога місцевих політичних проєктів на виборах у більшості регіонів та найбільших містах України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5782" w:rsidRPr="00786225" w:rsidRDefault="00745AB1">
            <w:pPr>
              <w:widowControl w:val="0"/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8</w:t>
            </w:r>
          </w:p>
        </w:tc>
      </w:tr>
    </w:tbl>
    <w:p w:rsidR="000B4793" w:rsidRPr="00786225" w:rsidRDefault="000B479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b/>
          <w:color w:val="202124"/>
          <w:sz w:val="24"/>
          <w:szCs w:val="24"/>
          <w:highlight w:val="white"/>
        </w:rPr>
      </w:pPr>
    </w:p>
    <w:p w:rsidR="00C85782" w:rsidRPr="00786225" w:rsidRDefault="00BA144E" w:rsidP="00282E93">
      <w:pPr>
        <w:pStyle w:val="a4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b/>
          <w:color w:val="202124"/>
          <w:sz w:val="24"/>
          <w:szCs w:val="24"/>
          <w:highlight w:val="white"/>
        </w:rPr>
      </w:pPr>
      <w:r w:rsidRPr="00786225">
        <w:rPr>
          <w:rFonts w:asciiTheme="minorHAnsi" w:eastAsia="Times New Roman" w:hAnsiTheme="minorHAnsi" w:cstheme="minorHAnsi"/>
          <w:b/>
          <w:color w:val="202124"/>
          <w:sz w:val="24"/>
          <w:szCs w:val="24"/>
          <w:highlight w:val="white"/>
        </w:rPr>
        <w:t>Оцініть, будь ласка, ймовірність настання таких подій у найближчі три місяці</w:t>
      </w:r>
    </w:p>
    <w:p w:rsidR="00C85782" w:rsidRPr="00786225" w:rsidRDefault="00C8578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color w:val="202124"/>
          <w:sz w:val="24"/>
          <w:szCs w:val="24"/>
          <w:highlight w:val="white"/>
        </w:rPr>
      </w:pPr>
    </w:p>
    <w:tbl>
      <w:tblPr>
        <w:tblStyle w:val="af1"/>
        <w:tblW w:w="10206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6"/>
        <w:gridCol w:w="992"/>
        <w:gridCol w:w="1134"/>
        <w:gridCol w:w="1276"/>
        <w:gridCol w:w="992"/>
        <w:gridCol w:w="992"/>
        <w:gridCol w:w="992"/>
        <w:gridCol w:w="992"/>
      </w:tblGrid>
      <w:tr w:rsidR="00822A99" w:rsidRPr="00786225" w:rsidTr="00822A99"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b/>
                <w:color w:val="202124"/>
                <w:sz w:val="24"/>
                <w:szCs w:val="24"/>
                <w:highlight w:val="white"/>
              </w:rPr>
              <w:t>1 – точно не відбудеться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b/>
                <w:color w:val="202124"/>
                <w:sz w:val="24"/>
                <w:szCs w:val="24"/>
                <w:highlight w:val="white"/>
              </w:rPr>
              <w:t>2 – скоріше не відбудеться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3 -ймовірність настання та ненастання однакова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4 - швидше відбудеться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8622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5 - точно відбудеться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b/>
                <w:color w:val="202124"/>
                <w:sz w:val="24"/>
                <w:szCs w:val="24"/>
                <w:highlight w:val="white"/>
              </w:rPr>
              <w:t>Важко відповісти</w:t>
            </w:r>
          </w:p>
        </w:tc>
        <w:tc>
          <w:tcPr>
            <w:tcW w:w="992" w:type="dxa"/>
          </w:tcPr>
          <w:p w:rsidR="00822A99" w:rsidRPr="00786225" w:rsidRDefault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/>
                <w:color w:val="202124"/>
                <w:sz w:val="24"/>
                <w:szCs w:val="24"/>
                <w:highlight w:val="white"/>
              </w:rPr>
            </w:pPr>
          </w:p>
          <w:p w:rsidR="00822A99" w:rsidRPr="00786225" w:rsidRDefault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b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b/>
                <w:color w:val="202124"/>
                <w:sz w:val="24"/>
                <w:szCs w:val="24"/>
                <w:highlight w:val="white"/>
              </w:rPr>
              <w:t>Ймовірність</w:t>
            </w:r>
          </w:p>
        </w:tc>
      </w:tr>
      <w:tr w:rsidR="00822A99" w:rsidRPr="00786225" w:rsidTr="00822A99"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933B6A" w:rsidRDefault="00822A99" w:rsidP="0059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202124"/>
                <w:highlight w:val="white"/>
              </w:rPr>
            </w:pPr>
            <w:r w:rsidRPr="00933B6A">
              <w:rPr>
                <w:rFonts w:asciiTheme="minorHAnsi" w:eastAsia="Times New Roman" w:hAnsiTheme="minorHAnsi" w:cstheme="minorHAnsi"/>
                <w:color w:val="202124"/>
                <w:highlight w:val="white"/>
              </w:rPr>
              <w:t xml:space="preserve">Розпуск КСУ, або відставка </w:t>
            </w:r>
            <w:r w:rsidR="005979C4" w:rsidRPr="00933B6A">
              <w:rPr>
                <w:rFonts w:asciiTheme="minorHAnsi" w:eastAsia="Times New Roman" w:hAnsiTheme="minorHAnsi" w:cstheme="minorHAnsi"/>
                <w:color w:val="202124"/>
                <w:highlight w:val="white"/>
              </w:rPr>
              <w:t>понад</w:t>
            </w:r>
            <w:r w:rsidRPr="00933B6A">
              <w:rPr>
                <w:rFonts w:asciiTheme="minorHAnsi" w:eastAsia="Times New Roman" w:hAnsiTheme="minorHAnsi" w:cstheme="minorHAnsi"/>
                <w:color w:val="202124"/>
                <w:highlight w:val="white"/>
              </w:rPr>
              <w:t xml:space="preserve"> половини суддів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33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92" w:type="dxa"/>
          </w:tcPr>
          <w:p w:rsidR="00822A99" w:rsidRPr="00786225" w:rsidRDefault="00822A99" w:rsidP="00822A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6225">
              <w:rPr>
                <w:rFonts w:asciiTheme="minorHAnsi" w:hAnsiTheme="minorHAnsi" w:cstheme="minorHAnsi"/>
                <w:b/>
                <w:sz w:val="24"/>
                <w:szCs w:val="24"/>
              </w:rPr>
              <w:t>29%</w:t>
            </w:r>
          </w:p>
        </w:tc>
      </w:tr>
      <w:tr w:rsidR="00822A99" w:rsidRPr="00786225" w:rsidTr="00822A99"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933B6A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202124"/>
              </w:rPr>
            </w:pPr>
            <w:r w:rsidRPr="00933B6A">
              <w:rPr>
                <w:rFonts w:asciiTheme="minorHAnsi" w:eastAsia="Times New Roman" w:hAnsiTheme="minorHAnsi" w:cstheme="minorHAnsi"/>
                <w:color w:val="202124"/>
              </w:rPr>
              <w:t>Відновлення співпраці України з МВФ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92" w:type="dxa"/>
          </w:tcPr>
          <w:p w:rsidR="00822A99" w:rsidRPr="00786225" w:rsidRDefault="00822A99" w:rsidP="00822A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6225">
              <w:rPr>
                <w:rFonts w:asciiTheme="minorHAnsi" w:hAnsiTheme="minorHAnsi" w:cstheme="minorHAnsi"/>
                <w:b/>
                <w:sz w:val="24"/>
                <w:szCs w:val="24"/>
              </w:rPr>
              <w:t>56%</w:t>
            </w:r>
          </w:p>
        </w:tc>
      </w:tr>
      <w:tr w:rsidR="00822A99" w:rsidRPr="00786225" w:rsidTr="00822A99"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933B6A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202124"/>
                <w:highlight w:val="white"/>
              </w:rPr>
            </w:pPr>
            <w:r w:rsidRPr="00933B6A">
              <w:rPr>
                <w:rFonts w:asciiTheme="minorHAnsi" w:eastAsia="Times New Roman" w:hAnsiTheme="minorHAnsi" w:cstheme="minorHAnsi"/>
                <w:color w:val="202124"/>
                <w:highlight w:val="white"/>
              </w:rPr>
              <w:lastRenderedPageBreak/>
              <w:t>Ліквідація Окружного адміністративного суду Києва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27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92" w:type="dxa"/>
          </w:tcPr>
          <w:p w:rsidR="00822A99" w:rsidRPr="00786225" w:rsidRDefault="00822A99" w:rsidP="00822A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6225">
              <w:rPr>
                <w:rFonts w:asciiTheme="minorHAnsi" w:hAnsiTheme="minorHAnsi" w:cstheme="minorHAnsi"/>
                <w:b/>
                <w:sz w:val="24"/>
                <w:szCs w:val="24"/>
              </w:rPr>
              <w:t>34%</w:t>
            </w:r>
          </w:p>
        </w:tc>
      </w:tr>
      <w:tr w:rsidR="00822A99" w:rsidRPr="00786225" w:rsidTr="00822A99"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933B6A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202124"/>
                <w:highlight w:val="white"/>
              </w:rPr>
            </w:pPr>
            <w:r w:rsidRPr="00933B6A">
              <w:rPr>
                <w:rFonts w:asciiTheme="minorHAnsi" w:eastAsia="Times New Roman" w:hAnsiTheme="minorHAnsi" w:cstheme="minorHAnsi"/>
                <w:color w:val="202124"/>
                <w:highlight w:val="white"/>
              </w:rPr>
              <w:t>Медичний колапс / Заповнення ліжкомісць для хворих на COVID-19 на 100%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26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992" w:type="dxa"/>
          </w:tcPr>
          <w:p w:rsidR="00822A99" w:rsidRPr="00786225" w:rsidRDefault="00822A99" w:rsidP="00822A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6225">
              <w:rPr>
                <w:rFonts w:asciiTheme="minorHAnsi" w:hAnsiTheme="minorHAnsi" w:cstheme="minorHAnsi"/>
                <w:b/>
                <w:sz w:val="24"/>
                <w:szCs w:val="24"/>
              </w:rPr>
              <w:t>51%</w:t>
            </w:r>
          </w:p>
        </w:tc>
      </w:tr>
      <w:tr w:rsidR="00822A99" w:rsidRPr="00786225" w:rsidTr="00822A99"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933B6A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202124"/>
                <w:highlight w:val="white"/>
              </w:rPr>
            </w:pPr>
            <w:r w:rsidRPr="00933B6A">
              <w:rPr>
                <w:rFonts w:asciiTheme="minorHAnsi" w:eastAsia="Times New Roman" w:hAnsiTheme="minorHAnsi" w:cstheme="minorHAnsi"/>
                <w:color w:val="202124"/>
                <w:highlight w:val="white"/>
              </w:rPr>
              <w:t>Створення політичної сили членами колишньої команди Президента (А. Богданом, О. Гончаруком тощо)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992" w:type="dxa"/>
          </w:tcPr>
          <w:p w:rsidR="00822A99" w:rsidRPr="00786225" w:rsidRDefault="00822A99" w:rsidP="00822A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6225">
              <w:rPr>
                <w:rFonts w:asciiTheme="minorHAnsi" w:hAnsiTheme="minorHAnsi" w:cstheme="minorHAnsi"/>
                <w:b/>
                <w:sz w:val="24"/>
                <w:szCs w:val="24"/>
              </w:rPr>
              <w:t>44%</w:t>
            </w:r>
          </w:p>
        </w:tc>
      </w:tr>
      <w:tr w:rsidR="00822A99" w:rsidRPr="00786225" w:rsidTr="00822A99"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933B6A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202124"/>
                <w:highlight w:val="white"/>
              </w:rPr>
            </w:pPr>
            <w:r w:rsidRPr="00933B6A">
              <w:rPr>
                <w:rFonts w:asciiTheme="minorHAnsi" w:eastAsia="Times New Roman" w:hAnsiTheme="minorHAnsi" w:cstheme="minorHAnsi"/>
                <w:color w:val="202124"/>
                <w:highlight w:val="white"/>
              </w:rPr>
              <w:t xml:space="preserve">Масові акції протестів та мітинги підприємців у зв'язку з запровадженням повного локдауну 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992" w:type="dxa"/>
          </w:tcPr>
          <w:p w:rsidR="00822A99" w:rsidRPr="00786225" w:rsidRDefault="00822A99" w:rsidP="00822A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6225">
              <w:rPr>
                <w:rFonts w:asciiTheme="minorHAnsi" w:hAnsiTheme="minorHAnsi" w:cstheme="minorHAnsi"/>
                <w:b/>
                <w:sz w:val="24"/>
                <w:szCs w:val="24"/>
              </w:rPr>
              <w:t>64%</w:t>
            </w:r>
          </w:p>
        </w:tc>
      </w:tr>
      <w:tr w:rsidR="00822A99" w:rsidRPr="00786225" w:rsidTr="00822A99"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933B6A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202124"/>
                <w:highlight w:val="white"/>
              </w:rPr>
            </w:pPr>
            <w:r w:rsidRPr="00933B6A">
              <w:rPr>
                <w:rFonts w:asciiTheme="minorHAnsi" w:eastAsia="Times New Roman" w:hAnsiTheme="minorHAnsi" w:cstheme="minorHAnsi"/>
                <w:color w:val="202124"/>
                <w:highlight w:val="white"/>
              </w:rPr>
              <w:t>Прийняття закону про Вільну економічну зону на Донбасі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29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992" w:type="dxa"/>
          </w:tcPr>
          <w:p w:rsidR="00822A99" w:rsidRPr="00786225" w:rsidRDefault="00822A99" w:rsidP="00822A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6225">
              <w:rPr>
                <w:rFonts w:asciiTheme="minorHAnsi" w:hAnsiTheme="minorHAnsi" w:cstheme="minorHAnsi"/>
                <w:b/>
                <w:sz w:val="24"/>
                <w:szCs w:val="24"/>
              </w:rPr>
              <w:t>36%</w:t>
            </w:r>
          </w:p>
        </w:tc>
      </w:tr>
      <w:tr w:rsidR="00822A99" w:rsidRPr="00786225" w:rsidTr="00822A99"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933B6A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202124"/>
                <w:highlight w:val="white"/>
              </w:rPr>
            </w:pPr>
            <w:r w:rsidRPr="00933B6A">
              <w:rPr>
                <w:rFonts w:asciiTheme="minorHAnsi" w:eastAsia="Times New Roman" w:hAnsiTheme="minorHAnsi" w:cstheme="minorHAnsi"/>
                <w:color w:val="202124"/>
                <w:highlight w:val="white"/>
              </w:rPr>
              <w:t>Проведення місцевих виборів в ОРДЛО до 31 березня 2021 року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92" w:type="dxa"/>
          </w:tcPr>
          <w:p w:rsidR="00822A99" w:rsidRPr="00786225" w:rsidRDefault="00822A99" w:rsidP="00822A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6225">
              <w:rPr>
                <w:rFonts w:asciiTheme="minorHAnsi" w:hAnsiTheme="minorHAnsi" w:cstheme="minorHAnsi"/>
                <w:b/>
                <w:sz w:val="24"/>
                <w:szCs w:val="24"/>
              </w:rPr>
              <w:t>19%</w:t>
            </w:r>
          </w:p>
        </w:tc>
      </w:tr>
      <w:tr w:rsidR="00822A99" w:rsidRPr="00786225" w:rsidTr="00822A99"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933B6A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202124"/>
                <w:highlight w:val="white"/>
              </w:rPr>
            </w:pPr>
            <w:r w:rsidRPr="00933B6A">
              <w:rPr>
                <w:rFonts w:asciiTheme="minorHAnsi" w:eastAsia="Times New Roman" w:hAnsiTheme="minorHAnsi" w:cstheme="minorHAnsi"/>
                <w:color w:val="202124"/>
                <w:highlight w:val="white"/>
              </w:rPr>
              <w:t>Запровадження надзвичайного стану у зв'язку з стрімким поширенням коронавірусу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13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992" w:type="dxa"/>
          </w:tcPr>
          <w:p w:rsidR="00822A99" w:rsidRPr="00786225" w:rsidRDefault="00822A99" w:rsidP="00822A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6225">
              <w:rPr>
                <w:rFonts w:asciiTheme="minorHAnsi" w:hAnsiTheme="minorHAnsi" w:cstheme="minorHAnsi"/>
                <w:b/>
                <w:sz w:val="24"/>
                <w:szCs w:val="24"/>
              </w:rPr>
              <w:t>36%</w:t>
            </w:r>
          </w:p>
        </w:tc>
      </w:tr>
      <w:tr w:rsidR="00822A99" w:rsidRPr="00786225" w:rsidTr="00822A99"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933B6A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202124"/>
              </w:rPr>
            </w:pPr>
            <w:r w:rsidRPr="00933B6A">
              <w:rPr>
                <w:rFonts w:asciiTheme="minorHAnsi" w:eastAsia="Times New Roman" w:hAnsiTheme="minorHAnsi" w:cstheme="minorHAnsi"/>
                <w:color w:val="202124"/>
              </w:rPr>
              <w:t>Відставка Кабінету міністрів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19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17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2A99" w:rsidRPr="00786225" w:rsidRDefault="00822A99" w:rsidP="00822A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</w:pPr>
            <w:r w:rsidRPr="00786225"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992" w:type="dxa"/>
          </w:tcPr>
          <w:p w:rsidR="00822A99" w:rsidRPr="00786225" w:rsidRDefault="00822A99" w:rsidP="00822A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6225">
              <w:rPr>
                <w:rFonts w:asciiTheme="minorHAnsi" w:hAnsiTheme="minorHAnsi" w:cstheme="minorHAnsi"/>
                <w:b/>
                <w:sz w:val="24"/>
                <w:szCs w:val="24"/>
              </w:rPr>
              <w:t>46%</w:t>
            </w:r>
          </w:p>
        </w:tc>
      </w:tr>
    </w:tbl>
    <w:p w:rsidR="00C85782" w:rsidRPr="00786225" w:rsidRDefault="00C8578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color w:val="202124"/>
          <w:sz w:val="24"/>
          <w:szCs w:val="24"/>
          <w:highlight w:val="white"/>
        </w:rPr>
      </w:pPr>
    </w:p>
    <w:p w:rsidR="009C377B" w:rsidRPr="00736805" w:rsidRDefault="009C377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:rsidR="00C85782" w:rsidRPr="00736805" w:rsidRDefault="00BA144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736805"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  <w:t>Як Ви оцінюєте наступні суспільно-політичні та соціально-економічні показники життя в Україні?</w:t>
      </w:r>
      <w:r w:rsidRPr="0073680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 </w:t>
      </w:r>
      <w:r w:rsidRPr="00736805">
        <w:rPr>
          <w:rFonts w:asciiTheme="minorHAnsi" w:eastAsia="Times New Roman" w:hAnsiTheme="minorHAnsi" w:cstheme="minorHAnsi"/>
          <w:i/>
          <w:color w:val="00000A"/>
          <w:sz w:val="24"/>
          <w:szCs w:val="24"/>
        </w:rPr>
        <w:t>(1 – дуже низький рівень; 10 – дуже високий рівень)</w:t>
      </w:r>
    </w:p>
    <w:tbl>
      <w:tblPr>
        <w:tblStyle w:val="60"/>
        <w:tblW w:w="10065" w:type="dxa"/>
        <w:tblInd w:w="-431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747"/>
        <w:gridCol w:w="698"/>
        <w:gridCol w:w="698"/>
        <w:gridCol w:w="698"/>
        <w:gridCol w:w="698"/>
        <w:gridCol w:w="698"/>
        <w:gridCol w:w="707"/>
        <w:gridCol w:w="707"/>
        <w:gridCol w:w="707"/>
        <w:gridCol w:w="707"/>
      </w:tblGrid>
      <w:tr w:rsidR="00FB30D8" w:rsidRPr="00736805" w:rsidTr="00FB30D8">
        <w:tc>
          <w:tcPr>
            <w:tcW w:w="4068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B562F5">
            <w:pPr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2012 </w:t>
            </w:r>
          </w:p>
        </w:tc>
        <w:tc>
          <w:tcPr>
            <w:tcW w:w="665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2013 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2014 </w:t>
            </w:r>
          </w:p>
        </w:tc>
        <w:tc>
          <w:tcPr>
            <w:tcW w:w="664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2015 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2016 </w:t>
            </w:r>
          </w:p>
        </w:tc>
        <w:tc>
          <w:tcPr>
            <w:tcW w:w="709" w:type="dxa"/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2017 </w:t>
            </w:r>
          </w:p>
        </w:tc>
        <w:tc>
          <w:tcPr>
            <w:tcW w:w="709" w:type="dxa"/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2018 </w:t>
            </w:r>
          </w:p>
        </w:tc>
        <w:tc>
          <w:tcPr>
            <w:tcW w:w="709" w:type="dxa"/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2019 </w:t>
            </w:r>
          </w:p>
        </w:tc>
        <w:tc>
          <w:tcPr>
            <w:tcW w:w="708" w:type="dxa"/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b/>
                <w:color w:val="00000A"/>
                <w:sz w:val="24"/>
                <w:szCs w:val="24"/>
                <w:lang w:val="en-US"/>
              </w:rPr>
            </w:pPr>
            <w:r w:rsidRPr="00736805">
              <w:rPr>
                <w:rFonts w:asciiTheme="minorHAnsi" w:hAnsiTheme="minorHAnsi" w:cstheme="minorHAnsi"/>
                <w:b/>
                <w:color w:val="00000A"/>
                <w:sz w:val="24"/>
                <w:szCs w:val="24"/>
                <w:lang w:val="en-US"/>
              </w:rPr>
              <w:t>2020</w:t>
            </w:r>
          </w:p>
        </w:tc>
      </w:tr>
      <w:tr w:rsidR="00FB30D8" w:rsidRPr="00736805" w:rsidTr="00FB30D8">
        <w:tc>
          <w:tcPr>
            <w:tcW w:w="4068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24"/>
                <w:szCs w:val="24"/>
                <w:lang w:val="uk-UA"/>
              </w:rPr>
            </w:pPr>
            <w:r w:rsidRPr="00736805">
              <w:rPr>
                <w:rFonts w:asciiTheme="minorHAnsi" w:eastAsia="Times New Roman" w:hAnsiTheme="minorHAnsi" w:cstheme="minorHAnsi"/>
                <w:sz w:val="24"/>
                <w:szCs w:val="24"/>
                <w:lang w:val="uk-UA"/>
              </w:rPr>
              <w:t xml:space="preserve">Рівень економічного розвитку 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3,1</w:t>
            </w:r>
          </w:p>
        </w:tc>
        <w:tc>
          <w:tcPr>
            <w:tcW w:w="665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2,7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2,6</w:t>
            </w:r>
          </w:p>
        </w:tc>
        <w:tc>
          <w:tcPr>
            <w:tcW w:w="664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2,6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3,6</w:t>
            </w:r>
          </w:p>
        </w:tc>
        <w:tc>
          <w:tcPr>
            <w:tcW w:w="709" w:type="dxa"/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3,9</w:t>
            </w:r>
          </w:p>
        </w:tc>
        <w:tc>
          <w:tcPr>
            <w:tcW w:w="709" w:type="dxa"/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4,4</w:t>
            </w:r>
          </w:p>
        </w:tc>
        <w:tc>
          <w:tcPr>
            <w:tcW w:w="709" w:type="dxa"/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4,6</w:t>
            </w:r>
          </w:p>
        </w:tc>
        <w:tc>
          <w:tcPr>
            <w:tcW w:w="708" w:type="dxa"/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3,6</w:t>
            </w:r>
          </w:p>
        </w:tc>
      </w:tr>
      <w:tr w:rsidR="00FB30D8" w:rsidRPr="00736805" w:rsidTr="00FB30D8">
        <w:tc>
          <w:tcPr>
            <w:tcW w:w="4068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24"/>
                <w:szCs w:val="24"/>
                <w:lang w:val="uk-UA"/>
              </w:rPr>
            </w:pPr>
            <w:r w:rsidRPr="00736805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val="uk-UA"/>
              </w:rPr>
              <w:t xml:space="preserve">Рівень демократії 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3,2</w:t>
            </w:r>
          </w:p>
        </w:tc>
        <w:tc>
          <w:tcPr>
            <w:tcW w:w="665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3,2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6,1</w:t>
            </w:r>
          </w:p>
        </w:tc>
        <w:tc>
          <w:tcPr>
            <w:tcW w:w="664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6,0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5,8</w:t>
            </w:r>
          </w:p>
        </w:tc>
        <w:tc>
          <w:tcPr>
            <w:tcW w:w="709" w:type="dxa"/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5,9</w:t>
            </w:r>
          </w:p>
        </w:tc>
        <w:tc>
          <w:tcPr>
            <w:tcW w:w="709" w:type="dxa"/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6,3</w:t>
            </w:r>
          </w:p>
        </w:tc>
        <w:tc>
          <w:tcPr>
            <w:tcW w:w="709" w:type="dxa"/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5,6</w:t>
            </w:r>
          </w:p>
        </w:tc>
        <w:tc>
          <w:tcPr>
            <w:tcW w:w="708" w:type="dxa"/>
          </w:tcPr>
          <w:p w:rsidR="00FB30D8" w:rsidRPr="00736805" w:rsidRDefault="00B562F5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5,4</w:t>
            </w:r>
          </w:p>
        </w:tc>
      </w:tr>
      <w:tr w:rsidR="00FB30D8" w:rsidRPr="00736805" w:rsidTr="00FB30D8">
        <w:tc>
          <w:tcPr>
            <w:tcW w:w="4068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24"/>
                <w:szCs w:val="24"/>
                <w:lang w:val="uk-UA"/>
              </w:rPr>
            </w:pPr>
            <w:r w:rsidRPr="00736805">
              <w:rPr>
                <w:rFonts w:asciiTheme="minorHAnsi" w:eastAsia="Times New Roman" w:hAnsiTheme="minorHAnsi" w:cstheme="minorHAnsi"/>
                <w:sz w:val="24"/>
                <w:szCs w:val="24"/>
                <w:lang w:val="uk-UA"/>
              </w:rPr>
              <w:t xml:space="preserve">Рівень свободи слова 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4,0</w:t>
            </w:r>
          </w:p>
        </w:tc>
        <w:tc>
          <w:tcPr>
            <w:tcW w:w="665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4,9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6,8</w:t>
            </w:r>
          </w:p>
        </w:tc>
        <w:tc>
          <w:tcPr>
            <w:tcW w:w="664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6,7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6,5</w:t>
            </w:r>
          </w:p>
        </w:tc>
        <w:tc>
          <w:tcPr>
            <w:tcW w:w="709" w:type="dxa"/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6,6</w:t>
            </w:r>
          </w:p>
        </w:tc>
        <w:tc>
          <w:tcPr>
            <w:tcW w:w="709" w:type="dxa"/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6,8</w:t>
            </w:r>
          </w:p>
        </w:tc>
        <w:tc>
          <w:tcPr>
            <w:tcW w:w="709" w:type="dxa"/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6,1</w:t>
            </w:r>
          </w:p>
        </w:tc>
        <w:tc>
          <w:tcPr>
            <w:tcW w:w="708" w:type="dxa"/>
          </w:tcPr>
          <w:p w:rsidR="00FB30D8" w:rsidRPr="00736805" w:rsidRDefault="00B562F5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6,6</w:t>
            </w:r>
          </w:p>
        </w:tc>
      </w:tr>
      <w:tr w:rsidR="00FB30D8" w:rsidRPr="00736805" w:rsidTr="00FB30D8">
        <w:tc>
          <w:tcPr>
            <w:tcW w:w="4068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24"/>
                <w:szCs w:val="24"/>
                <w:lang w:val="uk-UA"/>
              </w:rPr>
            </w:pPr>
            <w:r w:rsidRPr="00736805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val="uk-UA"/>
              </w:rPr>
              <w:t xml:space="preserve">Рівень свободи підприємництва 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3,1</w:t>
            </w:r>
          </w:p>
        </w:tc>
        <w:tc>
          <w:tcPr>
            <w:tcW w:w="665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3,0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4,0</w:t>
            </w:r>
          </w:p>
        </w:tc>
        <w:tc>
          <w:tcPr>
            <w:tcW w:w="664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4,1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4,6</w:t>
            </w:r>
          </w:p>
        </w:tc>
        <w:tc>
          <w:tcPr>
            <w:tcW w:w="709" w:type="dxa"/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4,9</w:t>
            </w:r>
          </w:p>
        </w:tc>
        <w:tc>
          <w:tcPr>
            <w:tcW w:w="709" w:type="dxa"/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5,4</w:t>
            </w:r>
          </w:p>
        </w:tc>
        <w:tc>
          <w:tcPr>
            <w:tcW w:w="709" w:type="dxa"/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4,9</w:t>
            </w:r>
          </w:p>
        </w:tc>
        <w:tc>
          <w:tcPr>
            <w:tcW w:w="708" w:type="dxa"/>
          </w:tcPr>
          <w:p w:rsidR="00FB30D8" w:rsidRPr="00736805" w:rsidRDefault="00B562F5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5</w:t>
            </w:r>
            <w:r w:rsidR="00FB30D8"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,2</w:t>
            </w:r>
          </w:p>
        </w:tc>
      </w:tr>
      <w:tr w:rsidR="00FB30D8" w:rsidRPr="00736805" w:rsidTr="00FB30D8">
        <w:tc>
          <w:tcPr>
            <w:tcW w:w="4068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24"/>
                <w:szCs w:val="24"/>
                <w:lang w:val="uk-UA"/>
              </w:rPr>
            </w:pPr>
            <w:r w:rsidRPr="00736805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val="uk-UA"/>
              </w:rPr>
              <w:t xml:space="preserve">Рівень дотримання законності 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2,1</w:t>
            </w:r>
          </w:p>
        </w:tc>
        <w:tc>
          <w:tcPr>
            <w:tcW w:w="665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2,2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3,1</w:t>
            </w:r>
          </w:p>
        </w:tc>
        <w:tc>
          <w:tcPr>
            <w:tcW w:w="664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3,3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3,4</w:t>
            </w:r>
          </w:p>
        </w:tc>
        <w:tc>
          <w:tcPr>
            <w:tcW w:w="709" w:type="dxa"/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3,5</w:t>
            </w:r>
          </w:p>
        </w:tc>
        <w:tc>
          <w:tcPr>
            <w:tcW w:w="709" w:type="dxa"/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3,6</w:t>
            </w:r>
          </w:p>
        </w:tc>
        <w:tc>
          <w:tcPr>
            <w:tcW w:w="709" w:type="dxa"/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3,3</w:t>
            </w:r>
          </w:p>
        </w:tc>
        <w:tc>
          <w:tcPr>
            <w:tcW w:w="708" w:type="dxa"/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3,2</w:t>
            </w:r>
          </w:p>
        </w:tc>
      </w:tr>
      <w:tr w:rsidR="00FB30D8" w:rsidRPr="00736805" w:rsidTr="00FB30D8">
        <w:tc>
          <w:tcPr>
            <w:tcW w:w="4068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 xml:space="preserve">Рівень корупції 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-//-</w:t>
            </w:r>
          </w:p>
        </w:tc>
        <w:tc>
          <w:tcPr>
            <w:tcW w:w="665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-//-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-//-</w:t>
            </w:r>
          </w:p>
        </w:tc>
        <w:tc>
          <w:tcPr>
            <w:tcW w:w="664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8,0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7,8</w:t>
            </w:r>
          </w:p>
        </w:tc>
        <w:tc>
          <w:tcPr>
            <w:tcW w:w="709" w:type="dxa"/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7,4</w:t>
            </w:r>
          </w:p>
        </w:tc>
        <w:tc>
          <w:tcPr>
            <w:tcW w:w="709" w:type="dxa"/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7,8</w:t>
            </w:r>
          </w:p>
        </w:tc>
        <w:tc>
          <w:tcPr>
            <w:tcW w:w="709" w:type="dxa"/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7,3</w:t>
            </w:r>
          </w:p>
        </w:tc>
        <w:tc>
          <w:tcPr>
            <w:tcW w:w="708" w:type="dxa"/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7,7</w:t>
            </w:r>
          </w:p>
        </w:tc>
      </w:tr>
      <w:tr w:rsidR="00FB30D8" w:rsidRPr="00736805" w:rsidTr="00FB30D8">
        <w:tc>
          <w:tcPr>
            <w:tcW w:w="4068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eastAsia="Times New Roman" w:hAnsiTheme="minorHAnsi" w:cstheme="minorHAnsi"/>
                <w:color w:val="00000A"/>
                <w:sz w:val="24"/>
                <w:szCs w:val="24"/>
                <w:lang w:val="uk-UA"/>
              </w:rPr>
              <w:t>Рівень національної безпеки і оборони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-//-</w:t>
            </w:r>
          </w:p>
        </w:tc>
        <w:tc>
          <w:tcPr>
            <w:tcW w:w="665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-//-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-//-</w:t>
            </w:r>
          </w:p>
        </w:tc>
        <w:tc>
          <w:tcPr>
            <w:tcW w:w="664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-//-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-//-</w:t>
            </w:r>
          </w:p>
        </w:tc>
        <w:tc>
          <w:tcPr>
            <w:tcW w:w="709" w:type="dxa"/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-//-</w:t>
            </w:r>
          </w:p>
        </w:tc>
        <w:tc>
          <w:tcPr>
            <w:tcW w:w="709" w:type="dxa"/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-//-</w:t>
            </w:r>
          </w:p>
        </w:tc>
        <w:tc>
          <w:tcPr>
            <w:tcW w:w="709" w:type="dxa"/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-//-</w:t>
            </w:r>
          </w:p>
        </w:tc>
        <w:tc>
          <w:tcPr>
            <w:tcW w:w="708" w:type="dxa"/>
          </w:tcPr>
          <w:p w:rsidR="00FB30D8" w:rsidRPr="00736805" w:rsidRDefault="00FB30D8" w:rsidP="00FB30D8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4,8</w:t>
            </w:r>
          </w:p>
        </w:tc>
      </w:tr>
      <w:tr w:rsidR="00FB30D8" w:rsidRPr="00736805" w:rsidTr="00FB30D8">
        <w:tc>
          <w:tcPr>
            <w:tcW w:w="4068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B562F5">
            <w:pPr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Рівень прогнозованості розвитку держави на наступний рік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4,0</w:t>
            </w:r>
          </w:p>
        </w:tc>
        <w:tc>
          <w:tcPr>
            <w:tcW w:w="665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2,5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4,0</w:t>
            </w:r>
          </w:p>
        </w:tc>
        <w:tc>
          <w:tcPr>
            <w:tcW w:w="664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4,2</w:t>
            </w:r>
          </w:p>
        </w:tc>
        <w:tc>
          <w:tcPr>
            <w:tcW w:w="611" w:type="dxa"/>
            <w:shd w:val="clear" w:color="auto" w:fill="auto"/>
            <w:tcMar>
              <w:left w:w="103" w:type="dxa"/>
            </w:tcMar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4,3</w:t>
            </w:r>
          </w:p>
        </w:tc>
        <w:tc>
          <w:tcPr>
            <w:tcW w:w="709" w:type="dxa"/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4,5</w:t>
            </w:r>
          </w:p>
        </w:tc>
        <w:tc>
          <w:tcPr>
            <w:tcW w:w="709" w:type="dxa"/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5,0</w:t>
            </w:r>
          </w:p>
        </w:tc>
        <w:tc>
          <w:tcPr>
            <w:tcW w:w="709" w:type="dxa"/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3,9</w:t>
            </w:r>
          </w:p>
        </w:tc>
        <w:tc>
          <w:tcPr>
            <w:tcW w:w="708" w:type="dxa"/>
          </w:tcPr>
          <w:p w:rsidR="00FB30D8" w:rsidRPr="00736805" w:rsidRDefault="00FB30D8" w:rsidP="00B562F5">
            <w:pPr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</w:pPr>
            <w:r w:rsidRPr="00736805">
              <w:rPr>
                <w:rFonts w:asciiTheme="minorHAnsi" w:hAnsiTheme="minorHAnsi" w:cstheme="minorHAnsi"/>
                <w:color w:val="00000A"/>
                <w:sz w:val="24"/>
                <w:szCs w:val="24"/>
                <w:lang w:val="uk-UA"/>
              </w:rPr>
              <w:t>3,6</w:t>
            </w:r>
          </w:p>
        </w:tc>
      </w:tr>
    </w:tbl>
    <w:p w:rsidR="00786225" w:rsidRDefault="00786225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786225" w:rsidRDefault="00786225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C85782" w:rsidRPr="00736805" w:rsidRDefault="00BA144E">
      <w:pPr>
        <w:rPr>
          <w:rFonts w:asciiTheme="minorHAnsi" w:eastAsia="Times New Roman" w:hAnsiTheme="minorHAnsi" w:cstheme="minorHAnsi"/>
          <w:b/>
          <w:sz w:val="24"/>
          <w:szCs w:val="24"/>
        </w:rPr>
      </w:pPr>
      <w:r w:rsidRPr="00736805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5</w:t>
      </w:r>
      <w:r w:rsidR="00FB30D8" w:rsidRPr="00736805">
        <w:rPr>
          <w:rFonts w:asciiTheme="minorHAnsi" w:eastAsia="Times New Roman" w:hAnsiTheme="minorHAnsi" w:cstheme="minorHAnsi"/>
          <w:b/>
          <w:sz w:val="24"/>
          <w:szCs w:val="24"/>
        </w:rPr>
        <w:t>-6</w:t>
      </w:r>
      <w:r w:rsidRPr="00736805">
        <w:rPr>
          <w:rFonts w:asciiTheme="minorHAnsi" w:eastAsia="Times New Roman" w:hAnsiTheme="minorHAnsi" w:cstheme="minorHAnsi"/>
          <w:b/>
          <w:sz w:val="24"/>
          <w:szCs w:val="24"/>
        </w:rPr>
        <w:t>. Які рішення</w:t>
      </w:r>
      <w:r w:rsidR="00FB30D8" w:rsidRPr="00736805">
        <w:rPr>
          <w:rFonts w:asciiTheme="minorHAnsi" w:eastAsia="Times New Roman" w:hAnsiTheme="minorHAnsi" w:cstheme="minorHAnsi"/>
          <w:b/>
          <w:sz w:val="24"/>
          <w:szCs w:val="24"/>
        </w:rPr>
        <w:t xml:space="preserve"> з цього переліку</w:t>
      </w:r>
      <w:r w:rsidRPr="00736805">
        <w:rPr>
          <w:rFonts w:asciiTheme="minorHAnsi" w:eastAsia="Times New Roman" w:hAnsiTheme="minorHAnsi" w:cstheme="minorHAnsi"/>
          <w:b/>
          <w:sz w:val="24"/>
          <w:szCs w:val="24"/>
        </w:rPr>
        <w:t>, на Вашу думку, можна назвати найкращими</w:t>
      </w:r>
      <w:r w:rsidR="00FB30D8" w:rsidRPr="00736805">
        <w:rPr>
          <w:rFonts w:asciiTheme="minorHAnsi" w:eastAsia="Times New Roman" w:hAnsiTheme="minorHAnsi" w:cstheme="minorHAnsi"/>
          <w:b/>
          <w:sz w:val="24"/>
          <w:szCs w:val="24"/>
        </w:rPr>
        <w:t>/найгіршими</w:t>
      </w:r>
      <w:r w:rsidRPr="00736805">
        <w:rPr>
          <w:rFonts w:asciiTheme="minorHAnsi" w:eastAsia="Times New Roman" w:hAnsiTheme="minorHAnsi" w:cstheme="minorHAnsi"/>
          <w:b/>
          <w:sz w:val="24"/>
          <w:szCs w:val="24"/>
        </w:rPr>
        <w:t xml:space="preserve"> рішеннями року? </w:t>
      </w:r>
      <w:r w:rsidRPr="00736805">
        <w:rPr>
          <w:rFonts w:asciiTheme="minorHAnsi" w:eastAsia="Times New Roman" w:hAnsiTheme="minorHAnsi" w:cstheme="minorHAnsi"/>
          <w:i/>
          <w:sz w:val="24"/>
          <w:szCs w:val="24"/>
        </w:rPr>
        <w:t>(за їхніми наслідками чи реалізацією; не більше 3-х варіантів)</w:t>
      </w:r>
    </w:p>
    <w:tbl>
      <w:tblPr>
        <w:tblStyle w:val="af3"/>
        <w:tblW w:w="9823" w:type="dxa"/>
        <w:tblInd w:w="-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04"/>
        <w:gridCol w:w="1559"/>
        <w:gridCol w:w="1560"/>
      </w:tblGrid>
      <w:tr w:rsidR="00FB30D8" w:rsidRPr="00736805" w:rsidTr="00FB30D8">
        <w:tc>
          <w:tcPr>
            <w:tcW w:w="6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0D8" w:rsidRPr="00736805" w:rsidRDefault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0D8" w:rsidRPr="00736805" w:rsidRDefault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Найкращі рішення (згадок)</w:t>
            </w:r>
          </w:p>
        </w:tc>
        <w:tc>
          <w:tcPr>
            <w:tcW w:w="1560" w:type="dxa"/>
          </w:tcPr>
          <w:p w:rsidR="00FB30D8" w:rsidRPr="00736805" w:rsidRDefault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Найгірші рішення (згадок)</w:t>
            </w:r>
          </w:p>
        </w:tc>
      </w:tr>
      <w:tr w:rsidR="00FB30D8" w:rsidRPr="00736805" w:rsidTr="00FB30D8">
        <w:tc>
          <w:tcPr>
            <w:tcW w:w="6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0D8" w:rsidRPr="00736805" w:rsidRDefault="005979C4" w:rsidP="00597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sz w:val="24"/>
                <w:szCs w:val="24"/>
              </w:rPr>
              <w:t>Ухвалення</w:t>
            </w:r>
            <w:r w:rsidR="00FB30D8" w:rsidRPr="0073680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Закону про ринок землі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0D8" w:rsidRPr="00736805" w:rsidRDefault="00FB30D8" w:rsidP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:rsidR="00FB30D8" w:rsidRPr="00736805" w:rsidRDefault="00FB30D8" w:rsidP="00FB30D8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6</w:t>
            </w:r>
          </w:p>
        </w:tc>
      </w:tr>
      <w:tr w:rsidR="00FB30D8" w:rsidRPr="00736805" w:rsidTr="00FB30D8">
        <w:tc>
          <w:tcPr>
            <w:tcW w:w="6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0D8" w:rsidRPr="00736805" w:rsidRDefault="00FB30D8" w:rsidP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sz w:val="24"/>
                <w:szCs w:val="24"/>
              </w:rPr>
              <w:t>Впровадження весняного локдауну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0D8" w:rsidRPr="00736805" w:rsidRDefault="00FB30D8" w:rsidP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FB30D8" w:rsidRPr="00736805" w:rsidRDefault="00FB30D8" w:rsidP="00FB30D8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10</w:t>
            </w:r>
          </w:p>
        </w:tc>
      </w:tr>
      <w:tr w:rsidR="00FB30D8" w:rsidRPr="00736805" w:rsidTr="00FB30D8">
        <w:tc>
          <w:tcPr>
            <w:tcW w:w="6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0D8" w:rsidRPr="00736805" w:rsidRDefault="00FB30D8" w:rsidP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sz w:val="24"/>
                <w:szCs w:val="24"/>
              </w:rPr>
              <w:t>Домовленість про перемир’я на Донбасі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0D8" w:rsidRPr="00736805" w:rsidRDefault="00FB30D8" w:rsidP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FB30D8" w:rsidRPr="00736805" w:rsidRDefault="00FB30D8" w:rsidP="00FB30D8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7</w:t>
            </w:r>
          </w:p>
        </w:tc>
      </w:tr>
      <w:tr w:rsidR="00FB30D8" w:rsidRPr="00736805" w:rsidTr="00FB30D8">
        <w:tc>
          <w:tcPr>
            <w:tcW w:w="6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0D8" w:rsidRPr="00736805" w:rsidRDefault="00FB30D8" w:rsidP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sz w:val="24"/>
                <w:szCs w:val="24"/>
              </w:rPr>
              <w:t>Рішення КСУ щодо неконституційності о</w:t>
            </w:r>
            <w:r w:rsidR="002F0886" w:rsidRPr="00736805">
              <w:rPr>
                <w:rFonts w:asciiTheme="minorHAnsi" w:eastAsia="Times New Roman" w:hAnsiTheme="minorHAnsi" w:cstheme="minorHAnsi"/>
                <w:sz w:val="24"/>
                <w:szCs w:val="24"/>
              </w:rPr>
              <w:t>кремих положень Закону України «Про запобігання корупції»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0D8" w:rsidRPr="00736805" w:rsidRDefault="00FB30D8" w:rsidP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FB30D8" w:rsidRPr="00736805" w:rsidRDefault="00FB30D8" w:rsidP="00FB30D8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46</w:t>
            </w:r>
          </w:p>
        </w:tc>
      </w:tr>
      <w:tr w:rsidR="00FB30D8" w:rsidRPr="00736805" w:rsidTr="00FB30D8">
        <w:tc>
          <w:tcPr>
            <w:tcW w:w="6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0D8" w:rsidRPr="00736805" w:rsidRDefault="00FB30D8" w:rsidP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sz w:val="24"/>
                <w:szCs w:val="24"/>
              </w:rPr>
              <w:t>Відставка уряду О. Гончарука і призначення уряду Д. Шмигаля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0D8" w:rsidRPr="00736805" w:rsidRDefault="00FB30D8" w:rsidP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B30D8" w:rsidRPr="00736805" w:rsidRDefault="00FB30D8" w:rsidP="00FB30D8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17</w:t>
            </w:r>
          </w:p>
        </w:tc>
      </w:tr>
      <w:tr w:rsidR="00FB30D8" w:rsidRPr="00736805" w:rsidTr="00FB30D8">
        <w:tc>
          <w:tcPr>
            <w:tcW w:w="6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0D8" w:rsidRPr="00736805" w:rsidRDefault="00FB30D8" w:rsidP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Адаптивний карантин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0D8" w:rsidRPr="00736805" w:rsidRDefault="00FB30D8" w:rsidP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FB30D8" w:rsidRPr="00736805" w:rsidRDefault="00FB30D8" w:rsidP="00FB30D8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</w:t>
            </w:r>
          </w:p>
        </w:tc>
      </w:tr>
      <w:tr w:rsidR="00FB30D8" w:rsidRPr="00736805" w:rsidTr="00FB30D8">
        <w:tc>
          <w:tcPr>
            <w:tcW w:w="6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0D8" w:rsidRPr="00736805" w:rsidRDefault="00FB30D8" w:rsidP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sz w:val="24"/>
                <w:szCs w:val="24"/>
              </w:rPr>
              <w:t>Відставка Генпрокурора Р. Рябошапки і призначення І. Венедіктової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0D8" w:rsidRPr="00736805" w:rsidRDefault="00FB30D8" w:rsidP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FB30D8" w:rsidRPr="00736805" w:rsidRDefault="00FB30D8" w:rsidP="00FB30D8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30</w:t>
            </w:r>
          </w:p>
        </w:tc>
      </w:tr>
      <w:tr w:rsidR="00FB30D8" w:rsidRPr="00736805" w:rsidTr="00FB30D8">
        <w:tc>
          <w:tcPr>
            <w:tcW w:w="6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0D8" w:rsidRPr="00736805" w:rsidRDefault="00FB30D8" w:rsidP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sz w:val="24"/>
                <w:szCs w:val="24"/>
              </w:rPr>
              <w:t>Евакуація українських громадян з-за кордону під час першої хвилі коронавірусу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0D8" w:rsidRPr="00736805" w:rsidRDefault="00FB30D8" w:rsidP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FB30D8" w:rsidRPr="00736805" w:rsidRDefault="00FB30D8" w:rsidP="00FB30D8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4</w:t>
            </w:r>
          </w:p>
        </w:tc>
      </w:tr>
      <w:tr w:rsidR="00FB30D8" w:rsidRPr="00736805" w:rsidTr="00FB30D8">
        <w:tc>
          <w:tcPr>
            <w:tcW w:w="6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0D8" w:rsidRPr="00736805" w:rsidRDefault="00FB30D8" w:rsidP="002F0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sz w:val="24"/>
                <w:szCs w:val="24"/>
              </w:rPr>
              <w:t>Прийняття закону щодо удосконалення механізмів регулювання банківськ</w:t>
            </w:r>
            <w:r w:rsidR="002F0886" w:rsidRPr="00736805">
              <w:rPr>
                <w:rFonts w:asciiTheme="minorHAnsi" w:eastAsia="Times New Roman" w:hAnsiTheme="minorHAnsi" w:cstheme="minorHAnsi"/>
                <w:sz w:val="24"/>
                <w:szCs w:val="24"/>
              </w:rPr>
              <w:t>ої діяльності (т.з. «</w:t>
            </w:r>
            <w:r w:rsidRPr="00736805">
              <w:rPr>
                <w:rFonts w:asciiTheme="minorHAnsi" w:eastAsia="Times New Roman" w:hAnsiTheme="minorHAnsi" w:cstheme="minorHAnsi"/>
                <w:sz w:val="24"/>
                <w:szCs w:val="24"/>
              </w:rPr>
              <w:t>Антиколомойський</w:t>
            </w:r>
            <w:r w:rsidR="002F0886" w:rsidRPr="00736805">
              <w:rPr>
                <w:rFonts w:asciiTheme="minorHAnsi" w:eastAsia="Times New Roman" w:hAnsiTheme="minorHAnsi" w:cstheme="minorHAnsi"/>
                <w:sz w:val="24"/>
                <w:szCs w:val="24"/>
              </w:rPr>
              <w:t>»</w:t>
            </w:r>
            <w:r w:rsidRPr="0073680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закон)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0D8" w:rsidRPr="00736805" w:rsidRDefault="00FB30D8" w:rsidP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37</w:t>
            </w:r>
          </w:p>
        </w:tc>
        <w:tc>
          <w:tcPr>
            <w:tcW w:w="1560" w:type="dxa"/>
            <w:shd w:val="clear" w:color="auto" w:fill="auto"/>
          </w:tcPr>
          <w:p w:rsidR="00FB30D8" w:rsidRPr="00736805" w:rsidRDefault="00FB30D8" w:rsidP="00FB30D8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FB30D8" w:rsidRPr="00736805" w:rsidTr="00FB30D8">
        <w:tc>
          <w:tcPr>
            <w:tcW w:w="67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0D8" w:rsidRPr="00736805" w:rsidRDefault="00FB30D8" w:rsidP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sz w:val="24"/>
                <w:szCs w:val="24"/>
              </w:rPr>
              <w:t>Невизнання української владою виборів Президента Білорусі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30D8" w:rsidRPr="00736805" w:rsidRDefault="00FB30D8" w:rsidP="00FB3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:rsidR="00FB30D8" w:rsidRPr="00736805" w:rsidRDefault="00FB30D8" w:rsidP="00FB30D8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1</w:t>
            </w:r>
          </w:p>
        </w:tc>
      </w:tr>
    </w:tbl>
    <w:p w:rsidR="00C85782" w:rsidRPr="00736805" w:rsidRDefault="00C85782" w:rsidP="0074712C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:rsidR="00C85782" w:rsidRPr="00736805" w:rsidRDefault="00BA144E">
      <w:pPr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bookmarkStart w:id="1" w:name="_heading=h.gjdgxs" w:colFirst="0" w:colLast="0"/>
      <w:bookmarkEnd w:id="1"/>
      <w:r w:rsidRPr="00736805">
        <w:rPr>
          <w:rFonts w:asciiTheme="minorHAnsi" w:eastAsia="Times New Roman" w:hAnsiTheme="minorHAnsi" w:cstheme="minorHAnsi"/>
          <w:b/>
          <w:sz w:val="24"/>
          <w:szCs w:val="24"/>
        </w:rPr>
        <w:t>Ваш рід занять:</w:t>
      </w:r>
      <w:r w:rsidR="0074712C" w:rsidRPr="00736805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74712C" w:rsidRPr="00736805">
        <w:rPr>
          <w:rFonts w:asciiTheme="minorHAnsi" w:eastAsia="Times New Roman" w:hAnsiTheme="minorHAnsi" w:cstheme="minorHAnsi"/>
          <w:i/>
          <w:sz w:val="24"/>
          <w:szCs w:val="24"/>
        </w:rPr>
        <w:t>(можливі кілька відповідей)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7939"/>
        <w:gridCol w:w="1695"/>
      </w:tblGrid>
      <w:tr w:rsidR="009655F0" w:rsidRPr="00736805" w:rsidTr="009655F0">
        <w:tc>
          <w:tcPr>
            <w:tcW w:w="7939" w:type="dxa"/>
          </w:tcPr>
          <w:p w:rsidR="009655F0" w:rsidRPr="00736805" w:rsidRDefault="009655F0" w:rsidP="00B56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 – експерт, аналітик, науковець</w:t>
            </w:r>
          </w:p>
        </w:tc>
        <w:tc>
          <w:tcPr>
            <w:tcW w:w="1695" w:type="dxa"/>
          </w:tcPr>
          <w:p w:rsidR="009655F0" w:rsidRPr="00736805" w:rsidRDefault="009655F0" w:rsidP="001B0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37</w:t>
            </w:r>
          </w:p>
        </w:tc>
      </w:tr>
      <w:tr w:rsidR="009655F0" w:rsidRPr="00736805" w:rsidTr="009655F0">
        <w:tc>
          <w:tcPr>
            <w:tcW w:w="7939" w:type="dxa"/>
          </w:tcPr>
          <w:p w:rsidR="009655F0" w:rsidRPr="00736805" w:rsidRDefault="009655F0" w:rsidP="00B56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 – громадський діяч</w:t>
            </w:r>
          </w:p>
        </w:tc>
        <w:tc>
          <w:tcPr>
            <w:tcW w:w="1695" w:type="dxa"/>
          </w:tcPr>
          <w:p w:rsidR="009655F0" w:rsidRPr="00736805" w:rsidRDefault="009655F0" w:rsidP="001B0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</w:t>
            </w:r>
          </w:p>
        </w:tc>
      </w:tr>
      <w:tr w:rsidR="009655F0" w:rsidRPr="00736805" w:rsidTr="009655F0">
        <w:tc>
          <w:tcPr>
            <w:tcW w:w="7939" w:type="dxa"/>
          </w:tcPr>
          <w:p w:rsidR="009655F0" w:rsidRPr="00736805" w:rsidRDefault="009655F0" w:rsidP="00B56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 – журналіст</w:t>
            </w:r>
          </w:p>
        </w:tc>
        <w:tc>
          <w:tcPr>
            <w:tcW w:w="1695" w:type="dxa"/>
          </w:tcPr>
          <w:p w:rsidR="009655F0" w:rsidRPr="00736805" w:rsidRDefault="009655F0" w:rsidP="001B0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11</w:t>
            </w:r>
          </w:p>
        </w:tc>
      </w:tr>
      <w:tr w:rsidR="009655F0" w:rsidRPr="00736805" w:rsidTr="009655F0">
        <w:tc>
          <w:tcPr>
            <w:tcW w:w="7939" w:type="dxa"/>
          </w:tcPr>
          <w:p w:rsidR="009655F0" w:rsidRPr="00736805" w:rsidRDefault="009655F0" w:rsidP="00B56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US"/>
              </w:rPr>
            </w:pPr>
            <w:r w:rsidRPr="0073680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4 – інше </w:t>
            </w:r>
          </w:p>
        </w:tc>
        <w:tc>
          <w:tcPr>
            <w:tcW w:w="1695" w:type="dxa"/>
          </w:tcPr>
          <w:p w:rsidR="009655F0" w:rsidRPr="00736805" w:rsidRDefault="009655F0" w:rsidP="001B02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73680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3</w:t>
            </w:r>
          </w:p>
        </w:tc>
      </w:tr>
    </w:tbl>
    <w:p w:rsidR="00C85782" w:rsidRPr="00736805" w:rsidRDefault="00C85782" w:rsidP="009655F0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:rsidR="00AA2DA1" w:rsidRPr="00736805" w:rsidRDefault="00AA2DA1" w:rsidP="0074712C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786225" w:rsidRDefault="00786225" w:rsidP="0074712C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933B6A" w:rsidRDefault="00933B6A" w:rsidP="0074712C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933B6A" w:rsidRDefault="00933B6A" w:rsidP="0074712C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933B6A" w:rsidRDefault="00933B6A" w:rsidP="0074712C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933B6A" w:rsidRDefault="00933B6A" w:rsidP="0074712C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933B6A" w:rsidRDefault="00933B6A" w:rsidP="0074712C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933B6A" w:rsidRDefault="00933B6A" w:rsidP="0074712C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933B6A" w:rsidRDefault="00933B6A" w:rsidP="0074712C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74712C" w:rsidRPr="00AA2DA1" w:rsidRDefault="0074712C" w:rsidP="0074712C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b/>
          <w:sz w:val="24"/>
          <w:szCs w:val="24"/>
        </w:rPr>
        <w:lastRenderedPageBreak/>
        <w:t>СПИСОК ОПИТАНИХ ЕКСПЕРТІВ</w:t>
      </w:r>
    </w:p>
    <w:p w:rsidR="0074712C" w:rsidRPr="00AA2DA1" w:rsidRDefault="0074712C" w:rsidP="0074712C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7E73EC" w:rsidRPr="00AA2DA1" w:rsidRDefault="007E73EC" w:rsidP="0074712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  <w:sectPr w:rsidR="007E73EC" w:rsidRPr="00AA2DA1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74712C" w:rsidRDefault="0074712C" w:rsidP="0074712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lastRenderedPageBreak/>
        <w:t>Батракова Наталія</w:t>
      </w:r>
    </w:p>
    <w:p w:rsidR="0028200B" w:rsidRPr="00680CF5" w:rsidRDefault="0028200B" w:rsidP="009E02C4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680CF5">
        <w:rPr>
          <w:rFonts w:asciiTheme="minorHAnsi" w:eastAsia="Times New Roman" w:hAnsiTheme="minorHAnsi" w:cstheme="minorHAnsi"/>
          <w:sz w:val="24"/>
          <w:szCs w:val="24"/>
        </w:rPr>
        <w:t>Біденко Юлія</w:t>
      </w:r>
    </w:p>
    <w:p w:rsidR="0074712C" w:rsidRDefault="0074712C" w:rsidP="0074712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Бугрій Максим</w:t>
      </w:r>
    </w:p>
    <w:p w:rsidR="004244F2" w:rsidRPr="00AA2DA1" w:rsidRDefault="004244F2" w:rsidP="0074712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Боярчук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Дмитро</w:t>
      </w:r>
    </w:p>
    <w:p w:rsidR="0074712C" w:rsidRDefault="0074712C" w:rsidP="0074712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Бурковський Петро</w:t>
      </w:r>
    </w:p>
    <w:p w:rsidR="004244F2" w:rsidRPr="00AA2DA1" w:rsidRDefault="004244F2" w:rsidP="004244F2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Войцеховський Владислав</w:t>
      </w:r>
    </w:p>
    <w:p w:rsidR="004244F2" w:rsidRDefault="004244F2" w:rsidP="004244F2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Головенко Роман</w:t>
      </w:r>
    </w:p>
    <w:p w:rsidR="004244F2" w:rsidRDefault="004244F2" w:rsidP="004244F2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Гомза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Іван</w:t>
      </w:r>
    </w:p>
    <w:p w:rsidR="00CC15CC" w:rsidRPr="00CC15CC" w:rsidRDefault="00CC15CC" w:rsidP="006139AA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CC15CC">
        <w:rPr>
          <w:rFonts w:asciiTheme="minorHAnsi" w:eastAsia="Times New Roman" w:hAnsiTheme="minorHAnsi" w:cstheme="minorHAnsi"/>
          <w:sz w:val="24"/>
          <w:szCs w:val="24"/>
        </w:rPr>
        <w:t>Гончар</w:t>
      </w:r>
      <w:r w:rsidRPr="00CC15C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CC15CC">
        <w:rPr>
          <w:rFonts w:asciiTheme="minorHAnsi" w:eastAsia="Times New Roman" w:hAnsiTheme="minorHAnsi" w:cstheme="minorHAnsi"/>
          <w:sz w:val="24"/>
          <w:szCs w:val="24"/>
        </w:rPr>
        <w:t>Михайло</w:t>
      </w:r>
    </w:p>
    <w:p w:rsidR="00680CF5" w:rsidRDefault="00680CF5" w:rsidP="00680CF5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Горбань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Юрій</w:t>
      </w:r>
    </w:p>
    <w:p w:rsidR="002116EB" w:rsidRPr="004244F2" w:rsidRDefault="002116EB" w:rsidP="002116EB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4244F2">
        <w:rPr>
          <w:rFonts w:asciiTheme="minorHAnsi" w:eastAsia="Times New Roman" w:hAnsiTheme="minorHAnsi" w:cstheme="minorHAnsi"/>
          <w:sz w:val="24"/>
          <w:szCs w:val="24"/>
        </w:rPr>
        <w:t>Джердж Сергій</w:t>
      </w:r>
    </w:p>
    <w:p w:rsidR="004244F2" w:rsidRPr="00AA2DA1" w:rsidRDefault="004244F2" w:rsidP="004244F2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Жежера Ніна</w:t>
      </w:r>
    </w:p>
    <w:p w:rsidR="0074712C" w:rsidRPr="00266881" w:rsidRDefault="0074712C" w:rsidP="00C77DEB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266881">
        <w:rPr>
          <w:rFonts w:asciiTheme="minorHAnsi" w:eastAsia="Times New Roman" w:hAnsiTheme="minorHAnsi" w:cstheme="minorHAnsi"/>
          <w:sz w:val="24"/>
          <w:szCs w:val="24"/>
        </w:rPr>
        <w:t>Замятін</w:t>
      </w:r>
      <w:r w:rsidR="0028200B" w:rsidRPr="0026688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8200B" w:rsidRPr="00266881">
        <w:rPr>
          <w:rFonts w:asciiTheme="minorHAnsi" w:eastAsia="Times New Roman" w:hAnsiTheme="minorHAnsi" w:cstheme="minorHAnsi"/>
          <w:sz w:val="24"/>
          <w:szCs w:val="24"/>
        </w:rPr>
        <w:t>Віктор</w:t>
      </w:r>
    </w:p>
    <w:p w:rsidR="0074712C" w:rsidRPr="00266881" w:rsidRDefault="0074712C" w:rsidP="00900703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266881">
        <w:rPr>
          <w:rFonts w:asciiTheme="minorHAnsi" w:eastAsia="Times New Roman" w:hAnsiTheme="minorHAnsi" w:cstheme="minorHAnsi"/>
          <w:sz w:val="24"/>
          <w:szCs w:val="24"/>
        </w:rPr>
        <w:t>Купрій</w:t>
      </w:r>
      <w:r w:rsidR="0028200B" w:rsidRPr="00266881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8200B" w:rsidRPr="00266881">
        <w:rPr>
          <w:rFonts w:asciiTheme="minorHAnsi" w:eastAsia="Times New Roman" w:hAnsiTheme="minorHAnsi" w:cstheme="minorHAnsi"/>
          <w:sz w:val="24"/>
          <w:szCs w:val="24"/>
        </w:rPr>
        <w:t>Володимир</w:t>
      </w:r>
    </w:p>
    <w:p w:rsidR="0074712C" w:rsidRDefault="0074712C" w:rsidP="0074712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Калітенко Олександр</w:t>
      </w:r>
    </w:p>
    <w:p w:rsidR="002116EB" w:rsidRPr="00AA2DA1" w:rsidRDefault="002116EB" w:rsidP="002116EB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Коваль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Надія</w:t>
      </w:r>
    </w:p>
    <w:p w:rsidR="0074712C" w:rsidRDefault="0074712C" w:rsidP="0074712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Колодій Антоніна</w:t>
      </w:r>
    </w:p>
    <w:p w:rsidR="00CC15CC" w:rsidRPr="00AA2DA1" w:rsidRDefault="00CC15CC" w:rsidP="00CC15C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Кошель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Олексій</w:t>
      </w:r>
    </w:p>
    <w:p w:rsidR="0074712C" w:rsidRDefault="0074712C" w:rsidP="0074712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Красуцька Ірина</w:t>
      </w:r>
    </w:p>
    <w:p w:rsidR="0074712C" w:rsidRDefault="0074712C" w:rsidP="0074712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Левченко Олег Васильович</w:t>
      </w:r>
    </w:p>
    <w:p w:rsidR="002116EB" w:rsidRPr="00AA2DA1" w:rsidRDefault="002116EB" w:rsidP="002116EB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Линник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Наталія</w:t>
      </w:r>
    </w:p>
    <w:p w:rsidR="0074712C" w:rsidRDefault="0074712C" w:rsidP="0074712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Лінцова Надія</w:t>
      </w:r>
    </w:p>
    <w:p w:rsidR="0074712C" w:rsidRDefault="0074712C" w:rsidP="0074712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Майор Людмила</w:t>
      </w:r>
    </w:p>
    <w:p w:rsidR="002116EB" w:rsidRPr="00266881" w:rsidRDefault="002116EB" w:rsidP="002116EB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266881">
        <w:rPr>
          <w:rFonts w:asciiTheme="minorHAnsi" w:eastAsia="Times New Roman" w:hAnsiTheme="minorHAnsi" w:cstheme="minorHAnsi"/>
          <w:sz w:val="24"/>
          <w:szCs w:val="24"/>
        </w:rPr>
        <w:t>Матійчик Ярослав</w:t>
      </w:r>
    </w:p>
    <w:p w:rsidR="0074712C" w:rsidRPr="00AA2DA1" w:rsidRDefault="0074712C" w:rsidP="0074712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 xml:space="preserve">Марценюк Тамара </w:t>
      </w:r>
    </w:p>
    <w:p w:rsidR="00801699" w:rsidRPr="00AA2DA1" w:rsidRDefault="00801699" w:rsidP="0074712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Марциновський Анатолій</w:t>
      </w:r>
    </w:p>
    <w:p w:rsidR="0074712C" w:rsidRDefault="0074712C" w:rsidP="0074712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Марченко Наталя</w:t>
      </w:r>
    </w:p>
    <w:p w:rsidR="00CC15CC" w:rsidRPr="00AA2DA1" w:rsidRDefault="00CC15CC" w:rsidP="00CC15C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Медуниця Юрій</w:t>
      </w:r>
    </w:p>
    <w:p w:rsidR="0074712C" w:rsidRDefault="0074712C" w:rsidP="0074712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Міщенко Михайло</w:t>
      </w:r>
    </w:p>
    <w:p w:rsidR="004244F2" w:rsidRPr="00AA2DA1" w:rsidRDefault="004244F2" w:rsidP="004244F2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Мовчан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Вероніка</w:t>
      </w:r>
    </w:p>
    <w:p w:rsidR="0074712C" w:rsidRDefault="0074712C" w:rsidP="0074712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Мостіпака Олександр</w:t>
      </w:r>
    </w:p>
    <w:p w:rsidR="00CC15CC" w:rsidRPr="00CC15CC" w:rsidRDefault="00CC15CC" w:rsidP="00401AC5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CC15CC">
        <w:rPr>
          <w:rFonts w:asciiTheme="minorHAnsi" w:eastAsia="Times New Roman" w:hAnsiTheme="minorHAnsi" w:cstheme="minorHAnsi"/>
          <w:sz w:val="24"/>
          <w:szCs w:val="24"/>
        </w:rPr>
        <w:t>Орел Світлана</w:t>
      </w:r>
    </w:p>
    <w:p w:rsidR="00680CF5" w:rsidRDefault="00680CF5" w:rsidP="00897BF3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680CF5">
        <w:rPr>
          <w:rFonts w:asciiTheme="minorHAnsi" w:eastAsia="Times New Roman" w:hAnsiTheme="minorHAnsi" w:cstheme="minorHAnsi"/>
          <w:sz w:val="24"/>
          <w:szCs w:val="24"/>
        </w:rPr>
        <w:t>Осипчук Анна</w:t>
      </w:r>
    </w:p>
    <w:p w:rsidR="00FF5F90" w:rsidRDefault="00FF5F90" w:rsidP="00FF5F90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Паливода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Любов</w:t>
      </w:r>
    </w:p>
    <w:p w:rsidR="0074712C" w:rsidRPr="00AA2DA1" w:rsidRDefault="0074712C" w:rsidP="0074712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Пасова Тетяна</w:t>
      </w:r>
    </w:p>
    <w:p w:rsidR="0074712C" w:rsidRDefault="0074712C" w:rsidP="0074712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Пашков Михайло</w:t>
      </w:r>
    </w:p>
    <w:p w:rsidR="0093728B" w:rsidRDefault="0093728B" w:rsidP="0093728B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Пекар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Валерій</w:t>
      </w:r>
    </w:p>
    <w:p w:rsidR="00266881" w:rsidRPr="00AA2DA1" w:rsidRDefault="00266881" w:rsidP="00266881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Печончик Тетяна</w:t>
      </w:r>
    </w:p>
    <w:p w:rsidR="00266881" w:rsidRPr="00266881" w:rsidRDefault="00266881" w:rsidP="009F42DD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266881">
        <w:rPr>
          <w:rFonts w:asciiTheme="minorHAnsi" w:eastAsia="Times New Roman" w:hAnsiTheme="minorHAnsi" w:cstheme="minorHAnsi"/>
          <w:sz w:val="24"/>
          <w:szCs w:val="24"/>
        </w:rPr>
        <w:t>Притула Тарас</w:t>
      </w:r>
    </w:p>
    <w:p w:rsidR="00FF5F90" w:rsidRDefault="00FF5F90" w:rsidP="00FF5F90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Резнік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Олександр</w:t>
      </w:r>
    </w:p>
    <w:p w:rsidR="00FF5F90" w:rsidRPr="00FF5F90" w:rsidRDefault="00FF5F90" w:rsidP="00331F4B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FF5F90">
        <w:rPr>
          <w:rFonts w:asciiTheme="minorHAnsi" w:eastAsia="Times New Roman" w:hAnsiTheme="minorHAnsi" w:cstheme="minorHAnsi"/>
          <w:sz w:val="24"/>
          <w:szCs w:val="24"/>
        </w:rPr>
        <w:t>Рибаченко Віктор</w:t>
      </w:r>
    </w:p>
    <w:p w:rsidR="00FF5F90" w:rsidRPr="00FF5F90" w:rsidRDefault="00FF5F90" w:rsidP="007E09A2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FF5F90">
        <w:rPr>
          <w:rFonts w:asciiTheme="minorHAnsi" w:eastAsia="Times New Roman" w:hAnsiTheme="minorHAnsi" w:cstheme="minorHAnsi"/>
          <w:sz w:val="24"/>
          <w:szCs w:val="24"/>
        </w:rPr>
        <w:lastRenderedPageBreak/>
        <w:t>Сидорчук Олексій</w:t>
      </w:r>
    </w:p>
    <w:p w:rsidR="00680CF5" w:rsidRDefault="00680CF5" w:rsidP="00680CF5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Старик Володимир</w:t>
      </w:r>
    </w:p>
    <w:p w:rsidR="004244F2" w:rsidRPr="00AA2DA1" w:rsidRDefault="004244F2" w:rsidP="004244F2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Таран Макар Анатолійович</w:t>
      </w:r>
    </w:p>
    <w:p w:rsidR="00680CF5" w:rsidRDefault="00680CF5" w:rsidP="0018318F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4244F2">
        <w:rPr>
          <w:rFonts w:asciiTheme="minorHAnsi" w:eastAsia="Times New Roman" w:hAnsiTheme="minorHAnsi" w:cstheme="minorHAnsi"/>
          <w:sz w:val="24"/>
          <w:szCs w:val="24"/>
        </w:rPr>
        <w:t>Тертичка Валерій</w:t>
      </w:r>
    </w:p>
    <w:p w:rsidR="0093728B" w:rsidRDefault="0093728B" w:rsidP="0018318F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Тетяна Вергелес</w:t>
      </w:r>
    </w:p>
    <w:p w:rsidR="00266881" w:rsidRPr="00AA2DA1" w:rsidRDefault="00266881" w:rsidP="00266881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Тиліщак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Володимир</w:t>
      </w:r>
    </w:p>
    <w:p w:rsidR="004244F2" w:rsidRPr="00AA2DA1" w:rsidRDefault="004244F2" w:rsidP="004244F2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Тимощук Віктор</w:t>
      </w:r>
    </w:p>
    <w:p w:rsidR="0074712C" w:rsidRDefault="0074712C" w:rsidP="0074712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Федуняк Сергій</w:t>
      </w:r>
    </w:p>
    <w:p w:rsidR="00266881" w:rsidRDefault="00266881" w:rsidP="00266881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Філіпчук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Наталя</w:t>
      </w:r>
    </w:p>
    <w:p w:rsidR="00CC15CC" w:rsidRPr="00AA2DA1" w:rsidRDefault="00CC15CC" w:rsidP="00CC15C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Хавронюк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Микола</w:t>
      </w:r>
    </w:p>
    <w:p w:rsidR="00266881" w:rsidRPr="00AA2DA1" w:rsidRDefault="00266881" w:rsidP="0074712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Шабунін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Віталій</w:t>
      </w:r>
    </w:p>
    <w:p w:rsidR="0074712C" w:rsidRDefault="007E73EC" w:rsidP="0074712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Шарлай Віталій</w:t>
      </w:r>
    </w:p>
    <w:p w:rsidR="00266881" w:rsidRPr="00AA2DA1" w:rsidRDefault="00266881" w:rsidP="00266881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Шевчук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Іван</w:t>
      </w:r>
    </w:p>
    <w:p w:rsidR="00266881" w:rsidRDefault="00266881" w:rsidP="002B7BF1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266881">
        <w:rPr>
          <w:rFonts w:asciiTheme="minorHAnsi" w:eastAsia="Times New Roman" w:hAnsiTheme="minorHAnsi" w:cstheme="minorHAnsi"/>
          <w:sz w:val="24"/>
          <w:szCs w:val="24"/>
        </w:rPr>
        <w:t>Шелест  Ганна</w:t>
      </w:r>
    </w:p>
    <w:p w:rsidR="00CC15CC" w:rsidRPr="00AA2DA1" w:rsidRDefault="00CC15CC" w:rsidP="00CC15CC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Ющенко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Олександр</w:t>
      </w:r>
    </w:p>
    <w:p w:rsidR="00266881" w:rsidRPr="00AA2DA1" w:rsidRDefault="00266881" w:rsidP="00266881">
      <w:pPr>
        <w:pStyle w:val="a4"/>
        <w:numPr>
          <w:ilvl w:val="0"/>
          <w:numId w:val="7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AA2DA1">
        <w:rPr>
          <w:rFonts w:asciiTheme="minorHAnsi" w:eastAsia="Times New Roman" w:hAnsiTheme="minorHAnsi" w:cstheme="minorHAnsi"/>
          <w:sz w:val="24"/>
          <w:szCs w:val="24"/>
        </w:rPr>
        <w:t>Янішевський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AA2DA1">
        <w:rPr>
          <w:rFonts w:asciiTheme="minorHAnsi" w:eastAsia="Times New Roman" w:hAnsiTheme="minorHAnsi" w:cstheme="minorHAnsi"/>
          <w:sz w:val="24"/>
          <w:szCs w:val="24"/>
        </w:rPr>
        <w:t>Сергій</w:t>
      </w:r>
    </w:p>
    <w:p w:rsidR="00266881" w:rsidRDefault="00266881" w:rsidP="00266881">
      <w:pPr>
        <w:pStyle w:val="a4"/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:rsidR="007E73EC" w:rsidRPr="00AA2DA1" w:rsidRDefault="007E73EC" w:rsidP="00801699">
      <w:pPr>
        <w:pStyle w:val="a4"/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sectPr w:rsidR="007E73EC" w:rsidRPr="00AA2DA1" w:rsidSect="007E73EC">
      <w:type w:val="continuous"/>
      <w:pgSz w:w="11906" w:h="16838"/>
      <w:pgMar w:top="1134" w:right="850" w:bottom="1134" w:left="1701" w:header="708" w:footer="708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6AE" w:rsidRDefault="003A66AE" w:rsidP="00FB30D8">
      <w:pPr>
        <w:spacing w:after="0" w:line="240" w:lineRule="auto"/>
      </w:pPr>
      <w:r>
        <w:separator/>
      </w:r>
    </w:p>
  </w:endnote>
  <w:endnote w:type="continuationSeparator" w:id="0">
    <w:p w:rsidR="003A66AE" w:rsidRDefault="003A66AE" w:rsidP="00FB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6AE" w:rsidRDefault="003A66AE" w:rsidP="00FB30D8">
      <w:pPr>
        <w:spacing w:after="0" w:line="240" w:lineRule="auto"/>
      </w:pPr>
      <w:r>
        <w:separator/>
      </w:r>
    </w:p>
  </w:footnote>
  <w:footnote w:type="continuationSeparator" w:id="0">
    <w:p w:rsidR="003A66AE" w:rsidRDefault="003A66AE" w:rsidP="00FB3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37EFB"/>
    <w:multiLevelType w:val="hybridMultilevel"/>
    <w:tmpl w:val="525620FC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C4542"/>
    <w:multiLevelType w:val="hybridMultilevel"/>
    <w:tmpl w:val="00C613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71C6B"/>
    <w:multiLevelType w:val="hybridMultilevel"/>
    <w:tmpl w:val="D2048D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90916"/>
    <w:multiLevelType w:val="hybridMultilevel"/>
    <w:tmpl w:val="8BB4EC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41393"/>
    <w:multiLevelType w:val="hybridMultilevel"/>
    <w:tmpl w:val="52E0F0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A66E3"/>
    <w:multiLevelType w:val="multilevel"/>
    <w:tmpl w:val="C09E082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6">
    <w:nsid w:val="78EE0B3E"/>
    <w:multiLevelType w:val="multilevel"/>
    <w:tmpl w:val="EDBAB0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82"/>
    <w:rsid w:val="00004CEE"/>
    <w:rsid w:val="000B4793"/>
    <w:rsid w:val="00146604"/>
    <w:rsid w:val="0016666A"/>
    <w:rsid w:val="001A4001"/>
    <w:rsid w:val="001B020F"/>
    <w:rsid w:val="002116EB"/>
    <w:rsid w:val="00266881"/>
    <w:rsid w:val="0028200B"/>
    <w:rsid w:val="00282E93"/>
    <w:rsid w:val="00296960"/>
    <w:rsid w:val="002F0886"/>
    <w:rsid w:val="002F0ED5"/>
    <w:rsid w:val="003A66AE"/>
    <w:rsid w:val="004244F2"/>
    <w:rsid w:val="00455217"/>
    <w:rsid w:val="00457ED2"/>
    <w:rsid w:val="004E6C7F"/>
    <w:rsid w:val="005314AA"/>
    <w:rsid w:val="005979C4"/>
    <w:rsid w:val="005C7DD4"/>
    <w:rsid w:val="00613DCA"/>
    <w:rsid w:val="00680CF5"/>
    <w:rsid w:val="006B122C"/>
    <w:rsid w:val="00736805"/>
    <w:rsid w:val="00745AB1"/>
    <w:rsid w:val="0074712C"/>
    <w:rsid w:val="00786225"/>
    <w:rsid w:val="007B4BA2"/>
    <w:rsid w:val="007D44A6"/>
    <w:rsid w:val="007E73EC"/>
    <w:rsid w:val="00801699"/>
    <w:rsid w:val="00815B41"/>
    <w:rsid w:val="00822A99"/>
    <w:rsid w:val="00855A45"/>
    <w:rsid w:val="0086265F"/>
    <w:rsid w:val="00876C35"/>
    <w:rsid w:val="008E047E"/>
    <w:rsid w:val="00927F06"/>
    <w:rsid w:val="00933B6A"/>
    <w:rsid w:val="0093728B"/>
    <w:rsid w:val="009655F0"/>
    <w:rsid w:val="009750A9"/>
    <w:rsid w:val="009936C6"/>
    <w:rsid w:val="009A4F95"/>
    <w:rsid w:val="009B1214"/>
    <w:rsid w:val="009C377B"/>
    <w:rsid w:val="009E545B"/>
    <w:rsid w:val="00A1458B"/>
    <w:rsid w:val="00AA2DA1"/>
    <w:rsid w:val="00AC1456"/>
    <w:rsid w:val="00AD5ADA"/>
    <w:rsid w:val="00AE37C5"/>
    <w:rsid w:val="00AF5EAE"/>
    <w:rsid w:val="00B22590"/>
    <w:rsid w:val="00B562F5"/>
    <w:rsid w:val="00BA144E"/>
    <w:rsid w:val="00BA6655"/>
    <w:rsid w:val="00BD6604"/>
    <w:rsid w:val="00C27AE8"/>
    <w:rsid w:val="00C85782"/>
    <w:rsid w:val="00CA31F6"/>
    <w:rsid w:val="00CB56E6"/>
    <w:rsid w:val="00CC15CC"/>
    <w:rsid w:val="00CE10E0"/>
    <w:rsid w:val="00D076EB"/>
    <w:rsid w:val="00D50F95"/>
    <w:rsid w:val="00E033BB"/>
    <w:rsid w:val="00E303C7"/>
    <w:rsid w:val="00E336E9"/>
    <w:rsid w:val="00E50C99"/>
    <w:rsid w:val="00EC41AE"/>
    <w:rsid w:val="00FB30D8"/>
    <w:rsid w:val="00FB74CA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12E31-6820-4702-BAC7-993128EA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5213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7A56E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213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39"/>
    <w:rsid w:val="00006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AD09C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5">
    <w:name w:val="Hyperlink"/>
    <w:basedOn w:val="a0"/>
    <w:uiPriority w:val="99"/>
    <w:unhideWhenUsed/>
    <w:rsid w:val="00927F06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BA144E"/>
    <w:rPr>
      <w:color w:val="800080" w:themeColor="followedHyperlink"/>
      <w:u w:val="single"/>
    </w:rPr>
  </w:style>
  <w:style w:type="paragraph" w:customStyle="1" w:styleId="10">
    <w:name w:val="Текст виноски1"/>
    <w:basedOn w:val="a"/>
    <w:next w:val="af7"/>
    <w:link w:val="af8"/>
    <w:uiPriority w:val="99"/>
    <w:semiHidden/>
    <w:unhideWhenUsed/>
    <w:rsid w:val="00FB30D8"/>
    <w:pPr>
      <w:spacing w:after="0" w:line="240" w:lineRule="auto"/>
    </w:pPr>
    <w:rPr>
      <w:sz w:val="20"/>
      <w:szCs w:val="20"/>
    </w:rPr>
  </w:style>
  <w:style w:type="character" w:customStyle="1" w:styleId="af8">
    <w:name w:val="Текст виноски Знак"/>
    <w:basedOn w:val="a0"/>
    <w:link w:val="10"/>
    <w:uiPriority w:val="99"/>
    <w:semiHidden/>
    <w:rsid w:val="00FB30D8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qFormat/>
    <w:rsid w:val="00FB30D8"/>
    <w:rPr>
      <w:vertAlign w:val="superscript"/>
    </w:rPr>
  </w:style>
  <w:style w:type="table" w:customStyle="1" w:styleId="60">
    <w:name w:val="Сетка таблицы6"/>
    <w:basedOn w:val="a1"/>
    <w:next w:val="a5"/>
    <w:uiPriority w:val="59"/>
    <w:rsid w:val="00FB30D8"/>
    <w:pPr>
      <w:spacing w:after="0" w:line="240" w:lineRule="auto"/>
    </w:pPr>
    <w:rPr>
      <w:rFonts w:cs="Times New Roman"/>
      <w:sz w:val="20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11"/>
    <w:uiPriority w:val="99"/>
    <w:semiHidden/>
    <w:unhideWhenUsed/>
    <w:rsid w:val="00FB30D8"/>
    <w:pPr>
      <w:spacing w:after="0" w:line="240" w:lineRule="auto"/>
    </w:pPr>
    <w:rPr>
      <w:sz w:val="20"/>
      <w:szCs w:val="20"/>
    </w:rPr>
  </w:style>
  <w:style w:type="character" w:customStyle="1" w:styleId="11">
    <w:name w:val="Текст виноски Знак1"/>
    <w:basedOn w:val="a0"/>
    <w:link w:val="af7"/>
    <w:uiPriority w:val="99"/>
    <w:semiHidden/>
    <w:rsid w:val="00FB30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m0K5HENC2GOlJied7VvLiVtKTg==">AMUW2mXPCF3Hc3VomN684hW/xS7gIF5OKmvGtDbB7ex+CkGBP31n8/kzeGDVNgmFwsAVH3ocw68WJTQIIX/3OJw3nXDt0GUrcMoffB3kI5Gi1yRyvAklqKHv9rVE1Q5FqH2Z1r96CBDf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1738</Words>
  <Characters>8030</Characters>
  <Application>Microsoft Office Word</Application>
  <DocSecurity>0</DocSecurity>
  <Lines>146</Lines>
  <Paragraphs>93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Iryna</cp:lastModifiedBy>
  <cp:revision>2</cp:revision>
  <dcterms:created xsi:type="dcterms:W3CDTF">2020-12-20T20:09:00Z</dcterms:created>
  <dcterms:modified xsi:type="dcterms:W3CDTF">2020-12-20T20:09:00Z</dcterms:modified>
</cp:coreProperties>
</file>