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10" w:rsidRPr="00850C3F" w:rsidRDefault="00F00010" w:rsidP="00F000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3F">
        <w:rPr>
          <w:rFonts w:cstheme="minorHAnsi"/>
          <w:noProof/>
          <w:sz w:val="24"/>
          <w:szCs w:val="24"/>
          <w:lang w:val="uk-UA" w:eastAsia="uk-UA"/>
        </w:rPr>
        <w:drawing>
          <wp:inline distT="0" distB="0" distL="0" distR="0" wp14:anchorId="644C0508" wp14:editId="5369EB4E">
            <wp:extent cx="5940425" cy="1116487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на документи код ЄДРПО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10" w:rsidRPr="00850C3F" w:rsidRDefault="00F00010" w:rsidP="00F000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3F">
        <w:rPr>
          <w:rFonts w:ascii="Times New Roman" w:hAnsi="Times New Roman" w:cs="Times New Roman"/>
          <w:b/>
          <w:sz w:val="28"/>
          <w:szCs w:val="28"/>
          <w:lang w:val="uk-UA"/>
        </w:rPr>
        <w:t>День Перемоги і його місце в історичній пам’яті українців</w:t>
      </w:r>
    </w:p>
    <w:p w:rsidR="008C0D96" w:rsidRPr="00850C3F" w:rsidRDefault="00F00010" w:rsidP="00832EDF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Загальнонаціональне дослідження проведене Фондом «Демократичні ініціативи» імені Ілька </w:t>
      </w:r>
      <w:proofErr w:type="spellStart"/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>Кучеріва</w:t>
      </w:r>
      <w:proofErr w:type="spellEnd"/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спільно з Київським міжнародним інститутом соціології з 17 по 22 квітня 2020 року в усіх регіонах України за винятком Криму та окупованих територій Донецької та Луганської областей. Дослідження проводилося методом CATI (телефонні інтерв’ю з використанням комп’ютера) на основі випадкової вибірки номерів мобільних телефонів. </w:t>
      </w:r>
      <w:proofErr w:type="spellStart"/>
      <w:r w:rsidR="008E18B0"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Опитано</w:t>
      </w:r>
      <w:proofErr w:type="spellEnd"/>
      <w:r w:rsidR="008E18B0"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2000 </w:t>
      </w:r>
      <w:proofErr w:type="spellStart"/>
      <w:r w:rsidR="008E18B0"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="008E18B0"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,</w:t>
      </w:r>
      <w:r w:rsidR="008E18B0" w:rsidRPr="00850C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E18B0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>ибірка репрезентативна для дорослого населення (віком 18 років і старше) України. Статистична пох</w:t>
      </w:r>
      <w:r w:rsidR="008C0D96" w:rsidRPr="00850C3F">
        <w:rPr>
          <w:rFonts w:ascii="Times New Roman" w:hAnsi="Times New Roman" w:cs="Times New Roman"/>
          <w:i/>
          <w:sz w:val="24"/>
          <w:szCs w:val="24"/>
          <w:lang w:val="uk-UA"/>
        </w:rPr>
        <w:t>ибка вибірки не перевищує 2,2%.</w:t>
      </w:r>
    </w:p>
    <w:p w:rsidR="008C0D96" w:rsidRPr="00850C3F" w:rsidRDefault="00F00010" w:rsidP="00832EDF">
      <w:pPr>
        <w:spacing w:after="0" w:line="240" w:lineRule="auto"/>
        <w:ind w:left="-567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50C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Фінансування опитування здійснене в рамках проекту МАТРА Посольства Королівства Нідерландів.</w:t>
      </w:r>
    </w:p>
    <w:p w:rsidR="00F00010" w:rsidRPr="00850C3F" w:rsidRDefault="0073582D" w:rsidP="00832EDF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П</w:t>
      </w:r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ресконференція</w:t>
      </w:r>
      <w:proofErr w:type="spellEnd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 «День Перемоги і його місце в  історичній пам’яті українців: як держава відзначатиме річницю перемоги над нацизмом?» проводиться Фондом «Демократичні ініціативи» імені Ілька </w:t>
      </w:r>
      <w:proofErr w:type="spellStart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Кучеріва</w:t>
      </w:r>
      <w:proofErr w:type="spellEnd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в рамках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в Україні. Зміст матеріалів заходу є винятковою відповідальністю </w:t>
      </w:r>
      <w:proofErr w:type="spellStart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="008C0D96"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та його партнерів i не обов’язково відображає погляди Агентства США з міжнародного розвитку (USAID) або уряду США</w:t>
      </w:r>
      <w:r w:rsidR="008C0D96" w:rsidRPr="00850C3F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  <w:r w:rsidR="00F00010" w:rsidRPr="00850C3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F00010" w:rsidRPr="00850C3F" w:rsidRDefault="00F00010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214E5" w:rsidRPr="00850C3F" w:rsidRDefault="00C21BE6" w:rsidP="00832EDF">
      <w:pPr>
        <w:pStyle w:val="a5"/>
        <w:numPr>
          <w:ilvl w:val="0"/>
          <w:numId w:val="7"/>
        </w:numPr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39%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370C09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українців підтримують відзначення в Україні </w:t>
      </w:r>
      <w:r w:rsidR="008E5BA7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обох дат</w:t>
      </w:r>
      <w:r w:rsidR="007416DD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="008E5BA7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370C09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Дня пам’яті та примирення </w:t>
      </w:r>
      <w:r w:rsidR="007416DD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– </w:t>
      </w:r>
      <w:r w:rsidR="00370C09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8 травня</w:t>
      </w:r>
      <w:r w:rsidR="008E5BA7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та Дня перемоги </w:t>
      </w:r>
      <w:r w:rsidR="007416DD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– </w:t>
      </w:r>
      <w:r w:rsidR="00370C09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9 травня</w:t>
      </w:r>
      <w:r w:rsidR="008E5BA7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8E5BA7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13478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 думку </w:t>
      </w:r>
      <w:r w:rsidR="009214E5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32% громадян</w:t>
      </w:r>
      <w:r w:rsidR="0013478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 </w:t>
      </w:r>
      <w:r w:rsidR="009214E5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відзначати варто лише День Перемоги 9 травня, </w:t>
      </w:r>
      <w:r w:rsidR="0013478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6319DB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14% вважають, що варто відзначати лише </w:t>
      </w:r>
      <w:r w:rsidR="00666C17" w:rsidRPr="00666C17">
        <w:rPr>
          <w:rFonts w:ascii="Times New Roman" w:hAnsi="Times New Roman" w:cs="Times New Roman"/>
          <w:iCs/>
          <w:sz w:val="24"/>
          <w:szCs w:val="24"/>
          <w:lang w:val="uk-UA"/>
        </w:rPr>
        <w:t>День пам’яті та примирення</w:t>
      </w:r>
      <w:r w:rsidR="00666C17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6319DB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8 травня</w:t>
      </w:r>
      <w:r w:rsidR="0013478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, а ще</w:t>
      </w:r>
      <w:r w:rsidR="009214E5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для 9% це питання байдуже. Такий баланс думок переважає у всіх регіонах.</w:t>
      </w:r>
      <w:r w:rsidR="00A36A05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Дещо більше підтримують святкування лише 9 травня люди, старші за 60 років.</w:t>
      </w:r>
    </w:p>
    <w:p w:rsidR="00012E26" w:rsidRPr="00850C3F" w:rsidRDefault="00012E26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924A2" w:rsidRPr="00850C3F" w:rsidRDefault="008E54FE" w:rsidP="00832EDF">
      <w:pPr>
        <w:pStyle w:val="a5"/>
        <w:numPr>
          <w:ilvl w:val="0"/>
          <w:numId w:val="7"/>
        </w:numPr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Близько 52% громадян </w:t>
      </w:r>
      <w:r w:rsidR="00B36BB3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дотримуються радянської інтерпретації</w:t>
      </w: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, що День Перемоги – це передусім відзначенн</w:t>
      </w:r>
      <w:bookmarkStart w:id="0" w:name="_GoBack"/>
      <w:bookmarkEnd w:id="0"/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я перемоги радянського народу у Великій Вітчизняній війні</w:t>
      </w:r>
      <w:r w:rsidR="00B36BB3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. 32% розуміють цю дату як</w:t>
      </w: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B36BB3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день відзначення перемоги антигітлерівської коаліції у Другій світовій війні та внеску у неї українського народу.</w:t>
      </w:r>
      <w:r w:rsidR="00B36BB3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Для 6% цей день є просто додатковим вихідним. </w:t>
      </w:r>
      <w:r w:rsidR="009924A2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Серед молоді дещо більше байдужих, а серед людей, старших за 70 років, істотно більше вираже</w:t>
      </w:r>
      <w:r w:rsidR="00B5639C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на підтримка радянської інтерпретації</w:t>
      </w:r>
      <w:r w:rsidR="009924A2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75CB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До того ж,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ця </w:t>
      </w:r>
      <w:r w:rsidR="00E75CB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інтерпретація 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більш поширен</w:t>
      </w:r>
      <w:r w:rsidR="00E75CB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 Сході та Півдні, але різниця  порівнян</w:t>
      </w:r>
      <w:r w:rsidR="00E75CB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 Заходом та Центром у межах 10</w:t>
      </w:r>
      <w:r w:rsidR="00B5639C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="00587D0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15%.</w:t>
      </w:r>
    </w:p>
    <w:p w:rsidR="00012E26" w:rsidRPr="00850C3F" w:rsidRDefault="00012E26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587D08" w:rsidRPr="00850C3F" w:rsidRDefault="00457026" w:rsidP="00832EDF">
      <w:pPr>
        <w:pStyle w:val="a5"/>
        <w:numPr>
          <w:ilvl w:val="0"/>
          <w:numId w:val="7"/>
        </w:numPr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Із твердженням</w:t>
      </w:r>
      <w:r w:rsidR="00E75CB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, </w:t>
      </w:r>
      <w:r w:rsidR="00587D0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що СРСР разом </w:t>
      </w:r>
      <w:r w:rsidR="00E75CB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і</w:t>
      </w:r>
      <w:r w:rsidR="00587D0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з Німеччиною відповідальн</w:t>
      </w: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ий</w:t>
      </w:r>
      <w:r w:rsidR="00587D0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з</w:t>
      </w:r>
      <w:r w:rsidR="002B5C2F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а початок Другої світової війни</w:t>
      </w:r>
      <w:r w:rsidR="002B5C2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E75CB8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погоджуються 56% українців</w:t>
      </w:r>
      <w:r w:rsidR="00E77B8D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, </w:t>
      </w:r>
      <w:r w:rsidR="002B5C2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не погоджуються </w:t>
      </w:r>
      <w:r w:rsidR="00E77B8D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із цим 24%</w:t>
      </w:r>
      <w:r w:rsidR="002B5C2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77B8D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</w:t>
      </w:r>
      <w:r w:rsidR="002B5C2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ще 20% не визначилися. </w:t>
      </w:r>
      <w:r w:rsidR="00E77B8D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Щодо цього твердження </w:t>
      </w:r>
      <w:r w:rsidR="00BE7FC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немає кардинальних відмінностей між усіма віковими групами до 70 років, лише серед найстаршої категорії дещо менше погоджуються </w:t>
      </w:r>
      <w:r w:rsidR="00F90D12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із ним</w:t>
      </w:r>
      <w:r w:rsidR="00BE7FC8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але тут більше невизначених. </w:t>
      </w:r>
      <w:r w:rsidR="00A45FAE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Регіональні відмі</w:t>
      </w:r>
      <w:r w:rsidR="008A3E6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нності</w:t>
      </w:r>
      <w:r w:rsidR="00A45FAE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</w:t>
      </w:r>
      <w:r w:rsidR="00E77B8D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тановлять </w:t>
      </w:r>
      <w:r w:rsidR="00A45FAE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щонайбільше 19% (на Заході з цим твердженням погоджуються 63%, а на Сході – 44%)</w:t>
      </w:r>
      <w:r w:rsidR="008A3E6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012E26" w:rsidRPr="00850C3F" w:rsidRDefault="00012E26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8A3E6F" w:rsidRPr="00850C3F" w:rsidRDefault="00891F40" w:rsidP="00832EDF">
      <w:pPr>
        <w:pStyle w:val="a5"/>
        <w:numPr>
          <w:ilvl w:val="0"/>
          <w:numId w:val="7"/>
        </w:numPr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61% українців не підтримують і</w:t>
      </w:r>
      <w:r w:rsidR="008A3E6F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дею участі українських політиків у заходах з нагоди Дня Перемоги у Москві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8A3E6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підтримують 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>– 21%</w:t>
      </w:r>
      <w:r w:rsidR="008A3E6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ще 18% не визначилися. </w:t>
      </w:r>
      <w:r w:rsidR="00BD7D81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Найменше таку ідею підтримують на Заході та в Центрі – 12% та 18% відповідно. На Сході та Півдні по 29% прихильників такого теоретичного візиту, але все ж більшість у ци</w:t>
      </w:r>
      <w:r w:rsidR="00F90D12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х регіонах (близько 50%) проти такої</w:t>
      </w:r>
      <w:r w:rsidR="00BD7D81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ідеї.</w:t>
      </w:r>
    </w:p>
    <w:p w:rsidR="00012E26" w:rsidRPr="00850C3F" w:rsidRDefault="00012E26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13190" w:rsidRPr="00850C3F" w:rsidRDefault="00F64955" w:rsidP="00832EDF">
      <w:pPr>
        <w:pStyle w:val="a5"/>
        <w:numPr>
          <w:ilvl w:val="0"/>
          <w:numId w:val="7"/>
        </w:numPr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Більшість українців (51%) не знають про масові заходи під назвою «Безсмертний полк», які проводяться 9 травня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Ще 12% знають про них, але ставляться до них негативно. Знають та позитивно ставляться 18%, нейтрально ставляться 12%. У всіх регіонах </w:t>
      </w:r>
      <w:r w:rsidR="004B05B7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понад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50% не знаю</w:t>
      </w:r>
      <w:r w:rsidR="004B05B7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ть про цей захід, окрім Сходу, д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е обізнаність дещо вища (нічого не знають 33%). На Сході також більше і позитивних ставлень – 32% проти </w:t>
      </w:r>
      <w:r w:rsidR="004473EF" w:rsidRPr="00850C3F">
        <w:rPr>
          <w:rFonts w:ascii="Times New Roman" w:hAnsi="Times New Roman" w:cs="Times New Roman"/>
          <w:iCs/>
          <w:sz w:val="24"/>
          <w:szCs w:val="24"/>
          <w:lang w:val="uk-UA"/>
        </w:rPr>
        <w:t>25% на Півдні, 15% у Центрі та 9% на Заході.</w:t>
      </w:r>
    </w:p>
    <w:p w:rsidR="00D92B0A" w:rsidRPr="00850C3F" w:rsidRDefault="00D92B0A" w:rsidP="00832EDF">
      <w:pPr>
        <w:pStyle w:val="a5"/>
        <w:ind w:left="-567" w:firstLine="142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92B0A" w:rsidRPr="00850C3F" w:rsidRDefault="00D92B0A" w:rsidP="00832EDF">
      <w:pPr>
        <w:pStyle w:val="a5"/>
        <w:numPr>
          <w:ilvl w:val="0"/>
          <w:numId w:val="7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Визнання воїнів Української повстанської армії (УПА) борцями за незалежність України підтримують 44% українців, </w:t>
      </w:r>
      <w:r w:rsidRPr="00850C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ще 22% – проти цього рішення; для 16% це байдуже і ще 17% громадян не визначилися із відповіддю. </w:t>
      </w:r>
      <w:r w:rsidRPr="00850C3F">
        <w:rPr>
          <w:rFonts w:ascii="Times New Roman" w:hAnsi="Times New Roman" w:cs="Times New Roman"/>
          <w:iCs/>
          <w:sz w:val="24"/>
          <w:szCs w:val="24"/>
          <w:lang w:val="uk-UA"/>
        </w:rPr>
        <w:t>Очікувано більш схвально до цього рішення ставляться на Заході та в Центрі. Визнання воїнів УПА борцями за незалежність у Східному та Південному регіонах підтримують та не підтримують приблизно однакові частки по 30% громадян.</w:t>
      </w:r>
    </w:p>
    <w:p w:rsidR="00012E26" w:rsidRPr="00850C3F" w:rsidRDefault="00012E26" w:rsidP="00832EDF">
      <w:pPr>
        <w:pStyle w:val="a5"/>
        <w:spacing w:line="240" w:lineRule="auto"/>
        <w:ind w:left="-567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832EDF" w:rsidRPr="00832EDF" w:rsidRDefault="004D005D" w:rsidP="00832EDF">
      <w:pPr>
        <w:pStyle w:val="a5"/>
        <w:numPr>
          <w:ilvl w:val="0"/>
          <w:numId w:val="7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iCs/>
          <w:lang w:val="uk-UA"/>
        </w:rPr>
      </w:pPr>
      <w:r w:rsidRPr="00832E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Близько третини українців підтримують рішення про заборону георгіївської стрічки, але ще близько третини не підтримують</w:t>
      </w:r>
      <w:r w:rsidR="00886375" w:rsidRPr="00832ED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886375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ля 25% це байдуже. </w:t>
      </w:r>
      <w:r w:rsidR="00BB7C18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Прихильників ц</w:t>
      </w:r>
      <w:r w:rsidR="00270A9C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ього рішення найбільше на Заході (44% підтримують, 23,2% не підтримують)</w:t>
      </w:r>
      <w:r w:rsidR="00BB7C18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</w:t>
      </w:r>
      <w:r w:rsidR="00886375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Центральному регіоні </w:t>
      </w:r>
      <w:r w:rsidR="00BB7C18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думки поділилися навпіл</w:t>
      </w:r>
      <w:r w:rsidR="00886375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(по 30–</w:t>
      </w:r>
      <w:r w:rsidR="00270A9C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31%)</w:t>
      </w:r>
      <w:r w:rsidR="00BB7C18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, найменше прихильників – на Півдні та Сході</w:t>
      </w:r>
      <w:r w:rsidR="00270A9C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(близько 20% підтримують таке рішення, 40% не підтримують)</w:t>
      </w:r>
      <w:r w:rsidR="00BB7C18" w:rsidRPr="00832ED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32EDF" w:rsidRPr="00832EDF" w:rsidRDefault="00832EDF" w:rsidP="00832EDF">
      <w:pPr>
        <w:pStyle w:val="a5"/>
        <w:ind w:left="-567"/>
        <w:rPr>
          <w:rFonts w:ascii="Times New Roman" w:hAnsi="Times New Roman" w:cs="Times New Roman"/>
          <w:noProof/>
          <w:lang w:val="uk-UA" w:eastAsia="uk-UA"/>
        </w:rPr>
      </w:pPr>
    </w:p>
    <w:p w:rsidR="00F62FD9" w:rsidRPr="00004057" w:rsidRDefault="00F62FD9" w:rsidP="00004057">
      <w:pPr>
        <w:pStyle w:val="a5"/>
        <w:numPr>
          <w:ilvl w:val="0"/>
          <w:numId w:val="7"/>
        </w:numPr>
        <w:spacing w:after="0" w:line="240" w:lineRule="auto"/>
        <w:ind w:left="-567" w:firstLine="142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04057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</w:t>
      </w:r>
      <w:r w:rsidRPr="00004057">
        <w:rPr>
          <w:rFonts w:ascii="Times New Roman" w:hAnsi="Times New Roman" w:cs="Times New Roman"/>
          <w:b/>
          <w:sz w:val="24"/>
          <w:szCs w:val="24"/>
          <w:lang w:val="uk-UA"/>
        </w:rPr>
        <w:t>Інтерпретації історії корелюють із політичною поведінкою людей</w:t>
      </w:r>
      <w:r w:rsidR="00004057" w:rsidRPr="00004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4057">
        <w:rPr>
          <w:rFonts w:ascii="Times New Roman" w:hAnsi="Times New Roman" w:cs="Times New Roman"/>
          <w:b/>
          <w:sz w:val="24"/>
          <w:szCs w:val="24"/>
          <w:lang w:val="uk-UA"/>
        </w:rPr>
        <w:t>сьогодні</w:t>
      </w:r>
      <w:r w:rsidRPr="00004057">
        <w:rPr>
          <w:rFonts w:ascii="Times New Roman" w:hAnsi="Times New Roman" w:cs="Times New Roman"/>
          <w:sz w:val="24"/>
          <w:szCs w:val="24"/>
          <w:lang w:val="uk-UA"/>
        </w:rPr>
        <w:t xml:space="preserve">. Наприклад, серед тих хто </w:t>
      </w:r>
      <w:r w:rsidR="00004057" w:rsidRPr="000040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04057">
        <w:rPr>
          <w:rFonts w:ascii="Times New Roman" w:hAnsi="Times New Roman" w:cs="Times New Roman"/>
          <w:sz w:val="24"/>
          <w:szCs w:val="24"/>
          <w:lang w:val="uk-UA"/>
        </w:rPr>
        <w:t>оділяє сучасну інтерпретацію Дня</w:t>
      </w:r>
      <w:r w:rsidR="00004057" w:rsidRPr="00004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057">
        <w:rPr>
          <w:rFonts w:ascii="Times New Roman" w:hAnsi="Times New Roman" w:cs="Times New Roman"/>
          <w:sz w:val="24"/>
          <w:szCs w:val="24"/>
          <w:lang w:val="uk-UA"/>
        </w:rPr>
        <w:t>Перемоги, значно більше прихильників європейської інтеграції України</w:t>
      </w:r>
      <w:r w:rsidRPr="00004057">
        <w:rPr>
          <w:rFonts w:ascii="Times New Roman" w:hAnsi="Times New Roman" w:cs="Times New Roman"/>
          <w:sz w:val="24"/>
          <w:szCs w:val="24"/>
          <w:lang w:val="uk-UA"/>
        </w:rPr>
        <w:br/>
        <w:t>(58% проти 39% серед прихильників радянської інтерпретації).</w:t>
      </w:r>
    </w:p>
    <w:p w:rsidR="00832EDF" w:rsidRDefault="00832EDF" w:rsidP="007B578E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7B578E" w:rsidRPr="007B578E" w:rsidRDefault="007B578E" w:rsidP="007B578E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B578E">
        <w:rPr>
          <w:rFonts w:ascii="Times New Roman" w:hAnsi="Times New Roman" w:cs="Times New Roman"/>
          <w:b/>
          <w:iCs/>
          <w:sz w:val="24"/>
          <w:szCs w:val="24"/>
          <w:lang w:val="uk-UA"/>
        </w:rPr>
        <w:t>ТАБЛИЦІ РОЗПОДІЛІВ</w:t>
      </w:r>
    </w:p>
    <w:p w:rsidR="00BE2510" w:rsidRDefault="00BE2510" w:rsidP="007B578E">
      <w:pPr>
        <w:pStyle w:val="a5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6C3770" w:rsidRPr="007B578E" w:rsidRDefault="006C3770" w:rsidP="007B578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B578E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 Вашу думку, у травні Україна має відзначати:</w:t>
      </w:r>
    </w:p>
    <w:p w:rsidR="00401666" w:rsidRPr="00850C3F" w:rsidRDefault="00E92DB7" w:rsidP="0001319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2391421" cy="2538374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_png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21" cy="26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770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3499757" cy="2076241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аф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t="2601" r="6135" b="5934"/>
                    <a:stretch/>
                  </pic:blipFill>
                  <pic:spPr bwMode="auto">
                    <a:xfrm>
                      <a:off x="0" y="0"/>
                      <a:ext cx="3499757" cy="2076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850"/>
        <w:gridCol w:w="851"/>
        <w:gridCol w:w="850"/>
      </w:tblGrid>
      <w:tr w:rsidR="008E14F5" w:rsidRPr="00850C3F" w:rsidTr="008E14F5">
        <w:tc>
          <w:tcPr>
            <w:tcW w:w="4678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850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851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850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851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60-69 років</w:t>
            </w:r>
          </w:p>
        </w:tc>
        <w:tc>
          <w:tcPr>
            <w:tcW w:w="850" w:type="dxa"/>
          </w:tcPr>
          <w:p w:rsidR="00401666" w:rsidRPr="00850C3F" w:rsidRDefault="00401666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70+ років</w:t>
            </w:r>
          </w:p>
        </w:tc>
      </w:tr>
      <w:tr w:rsidR="008E14F5" w:rsidRPr="00850C3F" w:rsidTr="008E14F5">
        <w:tc>
          <w:tcPr>
            <w:tcW w:w="4678" w:type="dxa"/>
          </w:tcPr>
          <w:p w:rsidR="008E14F5" w:rsidRPr="00850C3F" w:rsidRDefault="008E14F5" w:rsidP="008E14F5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Обидві дати: День пам’яті та примирення 8 травня і День перемоги над нацизмом 9 травня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8E14F5" w:rsidRPr="00850C3F" w:rsidTr="008E14F5">
        <w:tc>
          <w:tcPr>
            <w:tcW w:w="4678" w:type="dxa"/>
          </w:tcPr>
          <w:p w:rsidR="008E14F5" w:rsidRPr="00850C3F" w:rsidRDefault="008E14F5" w:rsidP="008E14F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Лише День перемоги над нацизмом 9 травня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E14F5" w:rsidRPr="00850C3F" w:rsidTr="008E14F5">
        <w:tc>
          <w:tcPr>
            <w:tcW w:w="4678" w:type="dxa"/>
          </w:tcPr>
          <w:p w:rsidR="008E14F5" w:rsidRPr="00850C3F" w:rsidRDefault="008E14F5" w:rsidP="008E14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Лише День пам’яті та примирення 8 травня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8E14F5" w:rsidRPr="00850C3F" w:rsidTr="008E14F5">
        <w:tc>
          <w:tcPr>
            <w:tcW w:w="4678" w:type="dxa"/>
          </w:tcPr>
          <w:p w:rsidR="008E14F5" w:rsidRPr="00850C3F" w:rsidRDefault="008E14F5" w:rsidP="008E14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Вам байдуже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8E14F5" w:rsidRPr="00850C3F" w:rsidTr="008E14F5">
        <w:tc>
          <w:tcPr>
            <w:tcW w:w="4678" w:type="dxa"/>
          </w:tcPr>
          <w:p w:rsidR="008E14F5" w:rsidRPr="00850C3F" w:rsidRDefault="008E14F5" w:rsidP="008E14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8E14F5" w:rsidRPr="00850C3F" w:rsidRDefault="008E14F5" w:rsidP="008E1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353E47" w:rsidRPr="00850C3F" w:rsidRDefault="00353E47" w:rsidP="00353E4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353E47" w:rsidRPr="00850C3F" w:rsidRDefault="0088037E" w:rsidP="007B578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 Ви вважаєте, День Перемоги – це передусім відзначення:</w:t>
      </w:r>
    </w:p>
    <w:p w:rsidR="00105186" w:rsidRPr="00850C3F" w:rsidRDefault="00711681" w:rsidP="00711681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135799</wp:posOffset>
                </wp:positionH>
                <wp:positionV relativeFrom="paragraph">
                  <wp:posOffset>2309949</wp:posOffset>
                </wp:positionV>
                <wp:extent cx="2558143" cy="397329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397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1681" w:rsidRPr="00711681" w:rsidRDefault="00711681" w:rsidP="00711681">
                            <w:pPr>
                              <w:spacing w:line="240" w:lineRule="auto"/>
                              <w:rPr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71168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uk-UA"/>
                              </w:rPr>
                              <w:t>Чи для Вас це просто додатковий вихідний,</w:t>
                            </w:r>
                            <w:r w:rsidRPr="0071168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uk-UA"/>
                              </w:rPr>
                              <w:br/>
                              <w:t xml:space="preserve"> привід провести час з родичами та знайомими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0.7pt;margin-top:181.9pt;width:201.4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" filled="f" stroked="f" strokeweight=".5pt">
                <v:textbox>
                  <w:txbxContent>
                    <w:p w:rsidR="00711681" w:rsidRPr="00711681" w:rsidRDefault="00711681" w:rsidP="00711681">
                      <w:pPr>
                        <w:spacing w:line="240" w:lineRule="auto"/>
                        <w:rPr>
                          <w:sz w:val="17"/>
                          <w:szCs w:val="17"/>
                          <w:lang w:val="ru-RU"/>
                        </w:rPr>
                      </w:pPr>
                      <w:r w:rsidRPr="00711681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uk-UA"/>
                        </w:rPr>
                        <w:t>Чи для Вас це просто додатковий вихідний,</w:t>
                      </w:r>
                      <w:r w:rsidRPr="00711681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uk-UA"/>
                        </w:rPr>
                        <w:br/>
                        <w:t xml:space="preserve"> привід провести час з родичами та знайомими</w:t>
                      </w:r>
                    </w:p>
                  </w:txbxContent>
                </v:textbox>
              </v:shape>
            </w:pict>
          </mc:Fallback>
        </mc:AlternateContent>
      </w:r>
      <w:r w:rsidR="009214E5" w:rsidRPr="00850C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094D80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 wp14:anchorId="698D7415" wp14:editId="72AB3526">
            <wp:extent cx="2367658" cy="236165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ф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2" t="2098" r="12170" b="19443"/>
                    <a:stretch/>
                  </pic:blipFill>
                  <pic:spPr bwMode="auto">
                    <a:xfrm>
                      <a:off x="0" y="0"/>
                      <a:ext cx="2399397" cy="239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514F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 wp14:anchorId="2D22E5BF" wp14:editId="2ED49C71">
            <wp:extent cx="3526875" cy="2302329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раф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3260" r="5023" b="5877"/>
                    <a:stretch/>
                  </pic:blipFill>
                  <pic:spPr bwMode="auto">
                    <a:xfrm>
                      <a:off x="0" y="0"/>
                      <a:ext cx="3526875" cy="230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5186" w:rsidRPr="00850C3F"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 w:rsidR="00105186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 wp14:anchorId="7D24EA87" wp14:editId="0C46396D">
            <wp:extent cx="252823" cy="26125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раф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4" r="94751" b="8668"/>
                    <a:stretch/>
                  </pic:blipFill>
                  <pic:spPr bwMode="auto">
                    <a:xfrm>
                      <a:off x="0" y="0"/>
                      <a:ext cx="357481" cy="36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92B" w:rsidRPr="00850C3F" w:rsidRDefault="0014492B" w:rsidP="00711681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474F1" w:rsidRPr="00850C3F" w:rsidRDefault="00F474F1" w:rsidP="00711681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tbl>
      <w:tblPr>
        <w:tblStyle w:val="a6"/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850"/>
        <w:gridCol w:w="851"/>
        <w:gridCol w:w="850"/>
      </w:tblGrid>
      <w:tr w:rsidR="0014492B" w:rsidRPr="00850C3F" w:rsidTr="00513364">
        <w:tc>
          <w:tcPr>
            <w:tcW w:w="4678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850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851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850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851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60-69 років</w:t>
            </w:r>
          </w:p>
        </w:tc>
        <w:tc>
          <w:tcPr>
            <w:tcW w:w="850" w:type="dxa"/>
          </w:tcPr>
          <w:p w:rsidR="0014492B" w:rsidRPr="00850C3F" w:rsidRDefault="0014492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70+ років</w:t>
            </w:r>
          </w:p>
        </w:tc>
      </w:tr>
      <w:tr w:rsidR="0014492B" w:rsidRPr="00850C3F" w:rsidTr="00513364">
        <w:tc>
          <w:tcPr>
            <w:tcW w:w="4678" w:type="dxa"/>
          </w:tcPr>
          <w:p w:rsidR="0014492B" w:rsidRPr="00850C3F" w:rsidRDefault="0014492B" w:rsidP="001449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 антигітлерівської коаліції у Другій світовій війні та внеску у неї українського народу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14492B" w:rsidRPr="00850C3F" w:rsidTr="00513364">
        <w:tc>
          <w:tcPr>
            <w:tcW w:w="4678" w:type="dxa"/>
          </w:tcPr>
          <w:p w:rsidR="0014492B" w:rsidRPr="00850C3F" w:rsidRDefault="0014492B" w:rsidP="001449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 радянського народу у Великій Вітчизняній війні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4492B" w:rsidRPr="00850C3F" w:rsidTr="00513364">
        <w:tc>
          <w:tcPr>
            <w:tcW w:w="4678" w:type="dxa"/>
          </w:tcPr>
          <w:p w:rsidR="0014492B" w:rsidRPr="00850C3F" w:rsidRDefault="0014492B" w:rsidP="001449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для Вас це просто додатковий вихідний, привід провести час з родичами та знайомими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4492B" w:rsidRPr="00850C3F" w:rsidTr="00513364">
        <w:tc>
          <w:tcPr>
            <w:tcW w:w="4678" w:type="dxa"/>
          </w:tcPr>
          <w:p w:rsidR="0014492B" w:rsidRPr="00850C3F" w:rsidRDefault="0014492B" w:rsidP="001449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14492B" w:rsidRPr="00850C3F" w:rsidRDefault="0014492B" w:rsidP="005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</w:tbl>
    <w:p w:rsidR="0014492B" w:rsidRPr="00850C3F" w:rsidRDefault="0014492B" w:rsidP="00711681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85A19" w:rsidRPr="00850C3F" w:rsidRDefault="00D85A19" w:rsidP="00711681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513364" w:rsidRPr="00850C3F" w:rsidRDefault="00513364" w:rsidP="007B57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Чи згодні Ви з твердженням, що СРСР разом </w:t>
      </w:r>
      <w:r w:rsidR="00457026" w:rsidRPr="00850C3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50C3F">
        <w:rPr>
          <w:rFonts w:ascii="Times New Roman" w:hAnsi="Times New Roman" w:cs="Times New Roman"/>
          <w:b/>
          <w:sz w:val="24"/>
          <w:szCs w:val="24"/>
          <w:lang w:val="uk-UA"/>
        </w:rPr>
        <w:t>з Німеччиною відповідальний за початок Другої світової війни?</w:t>
      </w:r>
    </w:p>
    <w:p w:rsidR="00D85A19" w:rsidRPr="00850C3F" w:rsidRDefault="00D85A19" w:rsidP="00D85A19">
      <w:pPr>
        <w:pStyle w:val="a5"/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683B" w:rsidRPr="00850C3F" w:rsidRDefault="00C8683B" w:rsidP="00513364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2236205</wp:posOffset>
                </wp:positionH>
                <wp:positionV relativeFrom="paragraph">
                  <wp:posOffset>2207511</wp:posOffset>
                </wp:positionV>
                <wp:extent cx="3825089" cy="362139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089" cy="36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83B" w:rsidRPr="00AB2E58" w:rsidRDefault="00C8683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</w:pPr>
                            <w:r w:rsidRPr="00AB2E58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ru-RU"/>
                              </w:rPr>
                              <w:t>*</w:t>
                            </w:r>
                            <w:r w:rsidR="00490673" w:rsidRPr="00AB2E58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у</w:t>
                            </w:r>
                            <w:r w:rsidRPr="00AB2E58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ре</w:t>
                            </w:r>
                            <w:r w:rsidR="00490673" w:rsidRPr="00AB2E58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гіональному та віковому розподілі</w:t>
                            </w:r>
                            <w:r w:rsidRPr="00AB2E58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об’єднано категорії «цілком» та «скоріше згоден», а також «скоріше» та «зовсім не згоден»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176.1pt;margin-top:173.8pt;width:301.2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" filled="f" stroked="f" strokeweight=".5pt">
                <v:textbox>
                  <w:txbxContent>
                    <w:p w:rsidR="00C8683B" w:rsidRPr="00AB2E58" w:rsidRDefault="00C8683B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</w:pPr>
                      <w:r w:rsidRPr="00AB2E58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ru-RU"/>
                        </w:rPr>
                        <w:t>*</w:t>
                      </w:r>
                      <w:r w:rsidR="00490673" w:rsidRPr="00AB2E58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у</w:t>
                      </w:r>
                      <w:r w:rsidRPr="00AB2E58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ре</w:t>
                      </w:r>
                      <w:r w:rsidR="00490673" w:rsidRPr="00AB2E58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гіональному та віковому розподілі</w:t>
                      </w:r>
                      <w:r w:rsidRPr="00AB2E58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об’єднано категорії «цілком» та «скоріше згоден», а також «скоріше» та «зовсім не згоден»</w:t>
                      </w:r>
                    </w:p>
                  </w:txbxContent>
                </v:textbox>
              </v:shape>
            </w:pict>
          </mc:Fallback>
        </mc:AlternateContent>
      </w:r>
      <w:r w:rsidR="0002622D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2230662" cy="22355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граф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0" t="4619" r="13022" b="10487"/>
                    <a:stretch/>
                  </pic:blipFill>
                  <pic:spPr bwMode="auto">
                    <a:xfrm>
                      <a:off x="0" y="0"/>
                      <a:ext cx="2259681" cy="226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5DA8" w:rsidRPr="00850C3F">
        <w:rPr>
          <w:rFonts w:ascii="Times New Roman" w:hAnsi="Times New Roman" w:cs="Times New Roman"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3490111" cy="2131629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граф6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660" r="4564" b="5170"/>
                    <a:stretch/>
                  </pic:blipFill>
                  <pic:spPr bwMode="auto">
                    <a:xfrm>
                      <a:off x="0" y="0"/>
                      <a:ext cx="3517643" cy="214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83B" w:rsidRPr="00850C3F" w:rsidRDefault="00C8683B" w:rsidP="00513364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85A19" w:rsidRPr="00850C3F" w:rsidRDefault="00D85A19" w:rsidP="00513364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tbl>
      <w:tblPr>
        <w:tblStyle w:val="a6"/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850"/>
        <w:gridCol w:w="851"/>
        <w:gridCol w:w="850"/>
      </w:tblGrid>
      <w:tr w:rsidR="00C8683B" w:rsidRPr="00850C3F" w:rsidTr="00490673">
        <w:tc>
          <w:tcPr>
            <w:tcW w:w="4678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850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851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850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851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60-69 років</w:t>
            </w:r>
          </w:p>
        </w:tc>
        <w:tc>
          <w:tcPr>
            <w:tcW w:w="850" w:type="dxa"/>
          </w:tcPr>
          <w:p w:rsidR="00C8683B" w:rsidRPr="00850C3F" w:rsidRDefault="00C8683B" w:rsidP="003B53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70+ років</w:t>
            </w:r>
          </w:p>
        </w:tc>
      </w:tr>
      <w:tr w:rsidR="00490673" w:rsidRPr="00850C3F" w:rsidTr="00AB2E58">
        <w:tc>
          <w:tcPr>
            <w:tcW w:w="4678" w:type="dxa"/>
          </w:tcPr>
          <w:p w:rsidR="00490673" w:rsidRPr="00850C3F" w:rsidRDefault="00490673" w:rsidP="004906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Згоден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490673" w:rsidRPr="00850C3F" w:rsidTr="00AB2E58">
        <w:tc>
          <w:tcPr>
            <w:tcW w:w="4678" w:type="dxa"/>
          </w:tcPr>
          <w:p w:rsidR="00490673" w:rsidRPr="00850C3F" w:rsidRDefault="00490673" w:rsidP="004906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згоден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90673" w:rsidRPr="00850C3F" w:rsidTr="00AB2E58">
        <w:tc>
          <w:tcPr>
            <w:tcW w:w="4678" w:type="dxa"/>
          </w:tcPr>
          <w:p w:rsidR="00490673" w:rsidRPr="00850C3F" w:rsidRDefault="00490673" w:rsidP="004906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90673" w:rsidRPr="00850C3F" w:rsidRDefault="00490673" w:rsidP="00AB2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="00DF23F3"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D85A19" w:rsidRPr="00850C3F" w:rsidRDefault="00D85A19" w:rsidP="008C3048">
      <w:pPr>
        <w:pStyle w:val="a5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8C3048" w:rsidRPr="00850C3F" w:rsidRDefault="008C3048" w:rsidP="008C3048">
      <w:pPr>
        <w:pStyle w:val="a5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922E5C" w:rsidRPr="00850C3F" w:rsidRDefault="008C3048" w:rsidP="007B57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 Ви ставитеся до ідеї участі українських політиків у заходах з нагоди Дня Перемоги у Москві 9 травня 2020 року?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2268"/>
      </w:tblGrid>
      <w:tr w:rsidR="00C46597" w:rsidRPr="00850C3F" w:rsidTr="00C46597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Цілком підтримую</w:t>
            </w:r>
          </w:p>
        </w:tc>
        <w:tc>
          <w:tcPr>
            <w:tcW w:w="2268" w:type="dxa"/>
            <w:vAlign w:val="center"/>
          </w:tcPr>
          <w:p w:rsidR="00C46597" w:rsidRPr="00850C3F" w:rsidRDefault="00C46597" w:rsidP="00C4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</w:tr>
      <w:tr w:rsidR="00C46597" w:rsidRPr="00850C3F" w:rsidTr="00C46597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 підтримую</w:t>
            </w:r>
          </w:p>
        </w:tc>
        <w:tc>
          <w:tcPr>
            <w:tcW w:w="2268" w:type="dxa"/>
            <w:vAlign w:val="center"/>
          </w:tcPr>
          <w:p w:rsidR="00C46597" w:rsidRPr="00850C3F" w:rsidRDefault="00C46597" w:rsidP="00C4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</w:t>
            </w:r>
          </w:p>
        </w:tc>
      </w:tr>
      <w:tr w:rsidR="00C46597" w:rsidRPr="00850C3F" w:rsidTr="00C46597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 не підтримую</w:t>
            </w:r>
          </w:p>
        </w:tc>
        <w:tc>
          <w:tcPr>
            <w:tcW w:w="2268" w:type="dxa"/>
            <w:vAlign w:val="center"/>
          </w:tcPr>
          <w:p w:rsidR="00C46597" w:rsidRPr="00850C3F" w:rsidRDefault="00C46597" w:rsidP="00C4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</w:t>
            </w:r>
          </w:p>
        </w:tc>
      </w:tr>
      <w:tr w:rsidR="00C46597" w:rsidRPr="00850C3F" w:rsidTr="00C46597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 підтримую</w:t>
            </w:r>
          </w:p>
        </w:tc>
        <w:tc>
          <w:tcPr>
            <w:tcW w:w="2268" w:type="dxa"/>
            <w:vAlign w:val="center"/>
          </w:tcPr>
          <w:p w:rsidR="00C46597" w:rsidRPr="00850C3F" w:rsidRDefault="00C46597" w:rsidP="00C4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  <w:tr w:rsidR="00C46597" w:rsidRPr="00850C3F" w:rsidTr="00C46597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268" w:type="dxa"/>
            <w:vAlign w:val="center"/>
          </w:tcPr>
          <w:p w:rsidR="00C46597" w:rsidRPr="00850C3F" w:rsidRDefault="00DF23F3" w:rsidP="00C4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</w:t>
            </w:r>
            <w:r w:rsidR="00C46597"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4D005D" w:rsidRDefault="00C46597" w:rsidP="00F474F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ab/>
      </w:r>
    </w:p>
    <w:p w:rsidR="00DC0BB0" w:rsidRDefault="00DC0BB0" w:rsidP="00F474F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C16B835" wp14:editId="2EA59455">
            <wp:extent cx="4599940" cy="1316990"/>
            <wp:effectExtent l="0" t="0" r="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4551" r="2564" b="30164"/>
                    <a:stretch/>
                  </pic:blipFill>
                  <pic:spPr bwMode="auto">
                    <a:xfrm>
                      <a:off x="0" y="0"/>
                      <a:ext cx="459994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BB0" w:rsidRPr="00850C3F" w:rsidRDefault="00DC0BB0" w:rsidP="00F474F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8C3048" w:rsidRPr="00850C3F" w:rsidRDefault="00C46597" w:rsidP="007B57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Чи знаєте Ви про масові заходи під назвою «Безсмертний полк», які проводяться 9 травня, та як до них ставитеся?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2268"/>
      </w:tblGrid>
      <w:tr w:rsidR="00C46597" w:rsidRPr="00850C3F" w:rsidTr="00DF23F3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Знаю та позитивно ставлюся</w:t>
            </w:r>
          </w:p>
        </w:tc>
        <w:tc>
          <w:tcPr>
            <w:tcW w:w="2268" w:type="dxa"/>
          </w:tcPr>
          <w:p w:rsidR="00C46597" w:rsidRPr="00850C3F" w:rsidRDefault="00C46597" w:rsidP="00C465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</w:tr>
      <w:tr w:rsidR="00C46597" w:rsidRPr="00850C3F" w:rsidTr="00DF23F3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Знаю, але ставлюся негативно</w:t>
            </w:r>
          </w:p>
        </w:tc>
        <w:tc>
          <w:tcPr>
            <w:tcW w:w="2268" w:type="dxa"/>
          </w:tcPr>
          <w:p w:rsidR="00C46597" w:rsidRPr="00850C3F" w:rsidRDefault="00C46597" w:rsidP="00C465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</w:tr>
      <w:tr w:rsidR="00C46597" w:rsidRPr="00850C3F" w:rsidTr="00DF23F3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Знаю та нейтрально ставлюся</w:t>
            </w:r>
          </w:p>
        </w:tc>
        <w:tc>
          <w:tcPr>
            <w:tcW w:w="2268" w:type="dxa"/>
          </w:tcPr>
          <w:p w:rsidR="00C46597" w:rsidRPr="00850C3F" w:rsidRDefault="00C46597" w:rsidP="00C465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</w:t>
            </w:r>
          </w:p>
        </w:tc>
      </w:tr>
      <w:tr w:rsidR="00C46597" w:rsidRPr="00850C3F" w:rsidTr="00DF23F3">
        <w:tc>
          <w:tcPr>
            <w:tcW w:w="4945" w:type="dxa"/>
          </w:tcPr>
          <w:p w:rsidR="00C46597" w:rsidRPr="00850C3F" w:rsidRDefault="00C46597" w:rsidP="00C46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знаю про цей захід</w:t>
            </w:r>
          </w:p>
        </w:tc>
        <w:tc>
          <w:tcPr>
            <w:tcW w:w="2268" w:type="dxa"/>
          </w:tcPr>
          <w:p w:rsidR="00C46597" w:rsidRPr="00850C3F" w:rsidRDefault="00C46597" w:rsidP="00C465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50,7</w:t>
            </w:r>
          </w:p>
        </w:tc>
      </w:tr>
      <w:tr w:rsidR="00C46597" w:rsidRPr="00850C3F" w:rsidTr="00DF23F3">
        <w:tc>
          <w:tcPr>
            <w:tcW w:w="4945" w:type="dxa"/>
          </w:tcPr>
          <w:p w:rsidR="00C46597" w:rsidRPr="00850C3F" w:rsidRDefault="00DF23F3" w:rsidP="00DF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268" w:type="dxa"/>
          </w:tcPr>
          <w:p w:rsidR="00C46597" w:rsidRPr="00850C3F" w:rsidRDefault="00DF23F3" w:rsidP="00C465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</w:tr>
    </w:tbl>
    <w:p w:rsidR="00C46597" w:rsidRPr="00850C3F" w:rsidRDefault="00C46597" w:rsidP="008C3048">
      <w:pPr>
        <w:pStyle w:val="a5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EE14FD" w:rsidRPr="00850C3F" w:rsidRDefault="00A12A85" w:rsidP="007B57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 Ви ставитеся до рішення про</w:t>
      </w:r>
      <w:r w:rsidR="00D92B0A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визнання воїнів Української повстанської армії (УПА) борцями за незалежність України?</w:t>
      </w:r>
    </w:p>
    <w:p w:rsidR="00EE14FD" w:rsidRPr="00850C3F" w:rsidRDefault="00EE14FD" w:rsidP="00EE14F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2394655" cy="2394857"/>
            <wp:effectExtent l="0" t="0" r="571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граф1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" t="5321" r="2928" b="11858"/>
                    <a:stretch/>
                  </pic:blipFill>
                  <pic:spPr bwMode="auto">
                    <a:xfrm>
                      <a:off x="0" y="0"/>
                      <a:ext cx="2462815" cy="246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AF0" w:rsidRPr="00850C3F">
        <w:rPr>
          <w:rFonts w:ascii="Times New Roman" w:hAnsi="Times New Roman" w:cs="Times New Roman"/>
          <w:b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3518138" cy="2153013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граф12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" t="3337" r="1920" b="6864"/>
                    <a:stretch/>
                  </pic:blipFill>
                  <pic:spPr bwMode="auto">
                    <a:xfrm>
                      <a:off x="0" y="0"/>
                      <a:ext cx="3568010" cy="218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DA7" w:rsidRPr="00850C3F" w:rsidRDefault="00D02DA7" w:rsidP="00EE14F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D02DA7" w:rsidRPr="00850C3F" w:rsidRDefault="00D02DA7" w:rsidP="007B57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 Ви ставитеся до рішення про заборону георгіївс</w:t>
      </w:r>
      <w:r w:rsidR="00850C3F"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ь</w:t>
      </w:r>
      <w:r w:rsidRPr="00850C3F">
        <w:rPr>
          <w:rFonts w:ascii="Times New Roman" w:hAnsi="Times New Roman" w:cs="Times New Roman"/>
          <w:b/>
          <w:iCs/>
          <w:sz w:val="24"/>
          <w:szCs w:val="24"/>
          <w:lang w:val="uk-UA"/>
        </w:rPr>
        <w:t>кої стрічки?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560"/>
      </w:tblGrid>
      <w:tr w:rsidR="00D02DA7" w:rsidRPr="00850C3F" w:rsidTr="00BE09C5">
        <w:tc>
          <w:tcPr>
            <w:tcW w:w="3964" w:type="dxa"/>
          </w:tcPr>
          <w:p w:rsidR="00D02DA7" w:rsidRPr="00850C3F" w:rsidRDefault="00D02DA7" w:rsidP="00D02DA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Позитивно</w:t>
            </w:r>
          </w:p>
        </w:tc>
        <w:tc>
          <w:tcPr>
            <w:tcW w:w="1560" w:type="dxa"/>
            <w:vAlign w:val="center"/>
          </w:tcPr>
          <w:p w:rsidR="00D02DA7" w:rsidRPr="00850C3F" w:rsidRDefault="00BE09C5" w:rsidP="00BE09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30,7</w:t>
            </w:r>
          </w:p>
        </w:tc>
      </w:tr>
      <w:tr w:rsidR="00D02DA7" w:rsidRPr="00850C3F" w:rsidTr="00BE09C5">
        <w:tc>
          <w:tcPr>
            <w:tcW w:w="3964" w:type="dxa"/>
          </w:tcPr>
          <w:p w:rsidR="00D02DA7" w:rsidRPr="00850C3F" w:rsidRDefault="00D02DA7" w:rsidP="00D02DA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Негативно</w:t>
            </w:r>
          </w:p>
        </w:tc>
        <w:tc>
          <w:tcPr>
            <w:tcW w:w="1560" w:type="dxa"/>
            <w:vAlign w:val="center"/>
          </w:tcPr>
          <w:p w:rsidR="00D02DA7" w:rsidRPr="00850C3F" w:rsidRDefault="00BE09C5" w:rsidP="00BE09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33,2</w:t>
            </w:r>
          </w:p>
        </w:tc>
      </w:tr>
      <w:tr w:rsidR="00D02DA7" w:rsidRPr="00850C3F" w:rsidTr="00BE09C5">
        <w:tc>
          <w:tcPr>
            <w:tcW w:w="3964" w:type="dxa"/>
          </w:tcPr>
          <w:p w:rsidR="00D02DA7" w:rsidRPr="00850C3F" w:rsidRDefault="00D02DA7" w:rsidP="00D02DA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Байдуже</w:t>
            </w:r>
          </w:p>
        </w:tc>
        <w:tc>
          <w:tcPr>
            <w:tcW w:w="1560" w:type="dxa"/>
            <w:vAlign w:val="center"/>
          </w:tcPr>
          <w:p w:rsidR="00D02DA7" w:rsidRPr="00850C3F" w:rsidRDefault="00BE09C5" w:rsidP="00BE09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24,6</w:t>
            </w:r>
          </w:p>
        </w:tc>
      </w:tr>
      <w:tr w:rsidR="00D02DA7" w:rsidRPr="00850C3F" w:rsidTr="00BE09C5">
        <w:tc>
          <w:tcPr>
            <w:tcW w:w="3964" w:type="dxa"/>
          </w:tcPr>
          <w:p w:rsidR="00D02DA7" w:rsidRPr="00850C3F" w:rsidRDefault="00D02DA7" w:rsidP="00D02DA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560" w:type="dxa"/>
            <w:vAlign w:val="center"/>
          </w:tcPr>
          <w:p w:rsidR="00D02DA7" w:rsidRPr="00850C3F" w:rsidRDefault="00BE09C5" w:rsidP="00BE09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11,5</w:t>
            </w:r>
          </w:p>
        </w:tc>
      </w:tr>
    </w:tbl>
    <w:p w:rsidR="00D02DA7" w:rsidRPr="00850C3F" w:rsidRDefault="00D02DA7" w:rsidP="00D02DA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92"/>
        <w:gridCol w:w="1134"/>
        <w:gridCol w:w="987"/>
      </w:tblGrid>
      <w:tr w:rsidR="00BE09C5" w:rsidRPr="00850C3F" w:rsidTr="00BE2510">
        <w:tc>
          <w:tcPr>
            <w:tcW w:w="2126" w:type="dxa"/>
          </w:tcPr>
          <w:p w:rsidR="00BE09C5" w:rsidRPr="00850C3F" w:rsidRDefault="00BE09C5" w:rsidP="00B6627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BE09C5" w:rsidRPr="00850C3F" w:rsidRDefault="00BE09C5" w:rsidP="00B662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92" w:type="dxa"/>
          </w:tcPr>
          <w:p w:rsidR="00BE09C5" w:rsidRPr="00850C3F" w:rsidRDefault="00BE09C5" w:rsidP="00B662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BE09C5" w:rsidRPr="00850C3F" w:rsidRDefault="00BE09C5" w:rsidP="00B662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87" w:type="dxa"/>
          </w:tcPr>
          <w:p w:rsidR="00BE09C5" w:rsidRPr="00850C3F" w:rsidRDefault="00BE09C5" w:rsidP="00B662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Схід</w:t>
            </w:r>
          </w:p>
        </w:tc>
      </w:tr>
      <w:tr w:rsidR="00057CA6" w:rsidRPr="00850C3F" w:rsidTr="00BE2510">
        <w:tc>
          <w:tcPr>
            <w:tcW w:w="2126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Позитивно</w:t>
            </w:r>
          </w:p>
        </w:tc>
        <w:tc>
          <w:tcPr>
            <w:tcW w:w="993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0%</w:t>
            </w:r>
          </w:p>
        </w:tc>
        <w:tc>
          <w:tcPr>
            <w:tcW w:w="992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9%</w:t>
            </w:r>
          </w:p>
        </w:tc>
        <w:tc>
          <w:tcPr>
            <w:tcW w:w="1134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2%</w:t>
            </w:r>
          </w:p>
        </w:tc>
        <w:tc>
          <w:tcPr>
            <w:tcW w:w="987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2%</w:t>
            </w:r>
          </w:p>
        </w:tc>
      </w:tr>
      <w:tr w:rsidR="00057CA6" w:rsidRPr="00850C3F" w:rsidTr="00BE2510">
        <w:tc>
          <w:tcPr>
            <w:tcW w:w="2126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Негативно</w:t>
            </w:r>
          </w:p>
        </w:tc>
        <w:tc>
          <w:tcPr>
            <w:tcW w:w="993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2%</w:t>
            </w:r>
          </w:p>
        </w:tc>
        <w:tc>
          <w:tcPr>
            <w:tcW w:w="992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5%</w:t>
            </w:r>
          </w:p>
        </w:tc>
        <w:tc>
          <w:tcPr>
            <w:tcW w:w="987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9%</w:t>
            </w:r>
          </w:p>
        </w:tc>
      </w:tr>
      <w:tr w:rsidR="00057CA6" w:rsidRPr="00850C3F" w:rsidTr="00BE2510">
        <w:tc>
          <w:tcPr>
            <w:tcW w:w="2126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Байдуже</w:t>
            </w:r>
          </w:p>
        </w:tc>
        <w:tc>
          <w:tcPr>
            <w:tcW w:w="993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5%</w:t>
            </w:r>
          </w:p>
        </w:tc>
        <w:tc>
          <w:tcPr>
            <w:tcW w:w="992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5%</w:t>
            </w:r>
          </w:p>
        </w:tc>
        <w:tc>
          <w:tcPr>
            <w:tcW w:w="1134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9%</w:t>
            </w:r>
          </w:p>
        </w:tc>
        <w:tc>
          <w:tcPr>
            <w:tcW w:w="987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3%</w:t>
            </w:r>
          </w:p>
        </w:tc>
      </w:tr>
      <w:tr w:rsidR="00057CA6" w:rsidRPr="00850C3F" w:rsidTr="00BE2510">
        <w:tc>
          <w:tcPr>
            <w:tcW w:w="2126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993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13,2%</w:t>
            </w:r>
          </w:p>
        </w:tc>
        <w:tc>
          <w:tcPr>
            <w:tcW w:w="992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11,7%</w:t>
            </w:r>
          </w:p>
        </w:tc>
        <w:tc>
          <w:tcPr>
            <w:tcW w:w="1134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9,3%</w:t>
            </w:r>
          </w:p>
        </w:tc>
        <w:tc>
          <w:tcPr>
            <w:tcW w:w="987" w:type="dxa"/>
          </w:tcPr>
          <w:p w:rsidR="00057CA6" w:rsidRPr="00850C3F" w:rsidRDefault="00057CA6" w:rsidP="00BE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10,6%</w:t>
            </w:r>
          </w:p>
        </w:tc>
      </w:tr>
    </w:tbl>
    <w:p w:rsidR="00BE09C5" w:rsidRPr="00850C3F" w:rsidRDefault="00BE09C5" w:rsidP="00BE2510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D92B0A" w:rsidRPr="00850C3F" w:rsidRDefault="00D92B0A" w:rsidP="00D92B0A">
      <w:pPr>
        <w:pStyle w:val="a5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D92B0A" w:rsidRPr="00850C3F" w:rsidRDefault="00D92B0A" w:rsidP="00D92B0A">
      <w:pPr>
        <w:pStyle w:val="a5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sectPr w:rsidR="00D92B0A" w:rsidRPr="00850C3F" w:rsidSect="00832ED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043"/>
    <w:multiLevelType w:val="hybridMultilevel"/>
    <w:tmpl w:val="E85210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B5AFE"/>
    <w:multiLevelType w:val="hybridMultilevel"/>
    <w:tmpl w:val="AC98D0EE"/>
    <w:lvl w:ilvl="0" w:tplc="F0A8E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C48"/>
    <w:multiLevelType w:val="hybridMultilevel"/>
    <w:tmpl w:val="B2D066EE"/>
    <w:lvl w:ilvl="0" w:tplc="2E5E3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3CCF"/>
    <w:multiLevelType w:val="hybridMultilevel"/>
    <w:tmpl w:val="88BAABA4"/>
    <w:lvl w:ilvl="0" w:tplc="5F8A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364EC"/>
    <w:multiLevelType w:val="hybridMultilevel"/>
    <w:tmpl w:val="A86CA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662C"/>
    <w:multiLevelType w:val="hybridMultilevel"/>
    <w:tmpl w:val="3C00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4108F"/>
    <w:multiLevelType w:val="hybridMultilevel"/>
    <w:tmpl w:val="FC061990"/>
    <w:lvl w:ilvl="0" w:tplc="040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BA2E03"/>
    <w:multiLevelType w:val="hybridMultilevel"/>
    <w:tmpl w:val="1460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65FB1"/>
    <w:multiLevelType w:val="hybridMultilevel"/>
    <w:tmpl w:val="9812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AD6F2B"/>
    <w:multiLevelType w:val="hybridMultilevel"/>
    <w:tmpl w:val="43B86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F"/>
    <w:rsid w:val="00004057"/>
    <w:rsid w:val="00012E26"/>
    <w:rsid w:val="00013190"/>
    <w:rsid w:val="0002622D"/>
    <w:rsid w:val="00057AA4"/>
    <w:rsid w:val="00057CA6"/>
    <w:rsid w:val="000718D1"/>
    <w:rsid w:val="00072B23"/>
    <w:rsid w:val="00087BC0"/>
    <w:rsid w:val="00092DCC"/>
    <w:rsid w:val="00093C8C"/>
    <w:rsid w:val="00094D80"/>
    <w:rsid w:val="000966CE"/>
    <w:rsid w:val="000C26F3"/>
    <w:rsid w:val="000D2C4F"/>
    <w:rsid w:val="000E67C2"/>
    <w:rsid w:val="000F0194"/>
    <w:rsid w:val="00105186"/>
    <w:rsid w:val="00134788"/>
    <w:rsid w:val="0014492B"/>
    <w:rsid w:val="00176EFE"/>
    <w:rsid w:val="001909AF"/>
    <w:rsid w:val="001A7AF0"/>
    <w:rsid w:val="001E5355"/>
    <w:rsid w:val="002110E1"/>
    <w:rsid w:val="002261F3"/>
    <w:rsid w:val="00244F37"/>
    <w:rsid w:val="002456B3"/>
    <w:rsid w:val="0025003C"/>
    <w:rsid w:val="00254A42"/>
    <w:rsid w:val="00270A9C"/>
    <w:rsid w:val="002A3832"/>
    <w:rsid w:val="002B5C2F"/>
    <w:rsid w:val="002B74DA"/>
    <w:rsid w:val="0034289B"/>
    <w:rsid w:val="00353E47"/>
    <w:rsid w:val="00370C09"/>
    <w:rsid w:val="003847D1"/>
    <w:rsid w:val="003A58E9"/>
    <w:rsid w:val="003C1432"/>
    <w:rsid w:val="003C26E6"/>
    <w:rsid w:val="003C3AA3"/>
    <w:rsid w:val="003E22ED"/>
    <w:rsid w:val="003F5F6B"/>
    <w:rsid w:val="003F7378"/>
    <w:rsid w:val="00401666"/>
    <w:rsid w:val="004473EF"/>
    <w:rsid w:val="00452268"/>
    <w:rsid w:val="0045362A"/>
    <w:rsid w:val="00457026"/>
    <w:rsid w:val="00460993"/>
    <w:rsid w:val="0046669E"/>
    <w:rsid w:val="00470BCB"/>
    <w:rsid w:val="00484B66"/>
    <w:rsid w:val="00490673"/>
    <w:rsid w:val="00490F7C"/>
    <w:rsid w:val="004B05B7"/>
    <w:rsid w:val="004D005D"/>
    <w:rsid w:val="004E3DA8"/>
    <w:rsid w:val="004E663A"/>
    <w:rsid w:val="00513364"/>
    <w:rsid w:val="00534A32"/>
    <w:rsid w:val="0056449E"/>
    <w:rsid w:val="005708C6"/>
    <w:rsid w:val="00581110"/>
    <w:rsid w:val="005812C7"/>
    <w:rsid w:val="00587D08"/>
    <w:rsid w:val="005D14D6"/>
    <w:rsid w:val="005D4766"/>
    <w:rsid w:val="005D48D0"/>
    <w:rsid w:val="006026C8"/>
    <w:rsid w:val="0060346F"/>
    <w:rsid w:val="00612918"/>
    <w:rsid w:val="00624FDA"/>
    <w:rsid w:val="006319DB"/>
    <w:rsid w:val="00664A59"/>
    <w:rsid w:val="00666C17"/>
    <w:rsid w:val="006762CE"/>
    <w:rsid w:val="00681255"/>
    <w:rsid w:val="00687C09"/>
    <w:rsid w:val="006B608B"/>
    <w:rsid w:val="006C3770"/>
    <w:rsid w:val="006D0869"/>
    <w:rsid w:val="006E632D"/>
    <w:rsid w:val="00711681"/>
    <w:rsid w:val="00732B4D"/>
    <w:rsid w:val="00733AB4"/>
    <w:rsid w:val="007351EB"/>
    <w:rsid w:val="0073582D"/>
    <w:rsid w:val="007416DD"/>
    <w:rsid w:val="0079136B"/>
    <w:rsid w:val="007B578E"/>
    <w:rsid w:val="007D473D"/>
    <w:rsid w:val="007E3129"/>
    <w:rsid w:val="00823F0A"/>
    <w:rsid w:val="0082414F"/>
    <w:rsid w:val="00832EDF"/>
    <w:rsid w:val="00850C3F"/>
    <w:rsid w:val="0088037E"/>
    <w:rsid w:val="00880C68"/>
    <w:rsid w:val="00886375"/>
    <w:rsid w:val="00891F40"/>
    <w:rsid w:val="008A13EE"/>
    <w:rsid w:val="008A18CA"/>
    <w:rsid w:val="008A3E6F"/>
    <w:rsid w:val="008C0D96"/>
    <w:rsid w:val="008C3048"/>
    <w:rsid w:val="008C3091"/>
    <w:rsid w:val="008E14F5"/>
    <w:rsid w:val="008E18B0"/>
    <w:rsid w:val="008E54FE"/>
    <w:rsid w:val="008E5BA7"/>
    <w:rsid w:val="008E774B"/>
    <w:rsid w:val="009214E5"/>
    <w:rsid w:val="00922E5C"/>
    <w:rsid w:val="00943C94"/>
    <w:rsid w:val="00946D47"/>
    <w:rsid w:val="00973E0B"/>
    <w:rsid w:val="0097514F"/>
    <w:rsid w:val="00982995"/>
    <w:rsid w:val="009924A2"/>
    <w:rsid w:val="009B0111"/>
    <w:rsid w:val="009D4B06"/>
    <w:rsid w:val="00A12A85"/>
    <w:rsid w:val="00A13F05"/>
    <w:rsid w:val="00A34C02"/>
    <w:rsid w:val="00A36A05"/>
    <w:rsid w:val="00A45FAE"/>
    <w:rsid w:val="00AA24C2"/>
    <w:rsid w:val="00AB2E58"/>
    <w:rsid w:val="00AC4277"/>
    <w:rsid w:val="00AE32E8"/>
    <w:rsid w:val="00B03997"/>
    <w:rsid w:val="00B36BB3"/>
    <w:rsid w:val="00B36DF7"/>
    <w:rsid w:val="00B5639C"/>
    <w:rsid w:val="00B6508B"/>
    <w:rsid w:val="00B8523C"/>
    <w:rsid w:val="00B85AF5"/>
    <w:rsid w:val="00BB7C18"/>
    <w:rsid w:val="00BC182F"/>
    <w:rsid w:val="00BC58D2"/>
    <w:rsid w:val="00BD7D81"/>
    <w:rsid w:val="00BE09C5"/>
    <w:rsid w:val="00BE2510"/>
    <w:rsid w:val="00BE7FC8"/>
    <w:rsid w:val="00C17D53"/>
    <w:rsid w:val="00C21BE6"/>
    <w:rsid w:val="00C46597"/>
    <w:rsid w:val="00C5578E"/>
    <w:rsid w:val="00C577B1"/>
    <w:rsid w:val="00C74CB1"/>
    <w:rsid w:val="00C8683B"/>
    <w:rsid w:val="00CE3893"/>
    <w:rsid w:val="00CE7BB0"/>
    <w:rsid w:val="00CF0E70"/>
    <w:rsid w:val="00CF46A3"/>
    <w:rsid w:val="00D01CEB"/>
    <w:rsid w:val="00D02DA7"/>
    <w:rsid w:val="00D31DF9"/>
    <w:rsid w:val="00D5162E"/>
    <w:rsid w:val="00D6096E"/>
    <w:rsid w:val="00D85A19"/>
    <w:rsid w:val="00D92B0A"/>
    <w:rsid w:val="00DC05BE"/>
    <w:rsid w:val="00DC0BB0"/>
    <w:rsid w:val="00DD1C5B"/>
    <w:rsid w:val="00DD5F5B"/>
    <w:rsid w:val="00DD7AAA"/>
    <w:rsid w:val="00DF23F3"/>
    <w:rsid w:val="00E04D87"/>
    <w:rsid w:val="00E05714"/>
    <w:rsid w:val="00E1119A"/>
    <w:rsid w:val="00E141BC"/>
    <w:rsid w:val="00E34324"/>
    <w:rsid w:val="00E4010F"/>
    <w:rsid w:val="00E43FDA"/>
    <w:rsid w:val="00E75CB8"/>
    <w:rsid w:val="00E77B8D"/>
    <w:rsid w:val="00E92DB7"/>
    <w:rsid w:val="00EE14FD"/>
    <w:rsid w:val="00F00010"/>
    <w:rsid w:val="00F15DA8"/>
    <w:rsid w:val="00F308F6"/>
    <w:rsid w:val="00F37B57"/>
    <w:rsid w:val="00F474F1"/>
    <w:rsid w:val="00F62FD9"/>
    <w:rsid w:val="00F645B5"/>
    <w:rsid w:val="00F64955"/>
    <w:rsid w:val="00F6534D"/>
    <w:rsid w:val="00F90D12"/>
    <w:rsid w:val="00FB12C6"/>
    <w:rsid w:val="00FC6071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8E80-D369-400B-8EB0-25D59E4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58E9"/>
    <w:rPr>
      <w:i/>
      <w:iCs/>
    </w:rPr>
  </w:style>
  <w:style w:type="paragraph" w:styleId="a4">
    <w:name w:val="Normal (Web)"/>
    <w:basedOn w:val="a"/>
    <w:uiPriority w:val="99"/>
    <w:rsid w:val="003A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718D1"/>
    <w:pPr>
      <w:ind w:left="720"/>
      <w:contextualSpacing/>
    </w:pPr>
  </w:style>
  <w:style w:type="table" w:styleId="a6">
    <w:name w:val="Table Grid"/>
    <w:basedOn w:val="a1"/>
    <w:uiPriority w:val="39"/>
    <w:rsid w:val="006B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29D1-F02D-476F-9103-6B19100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4410</Words>
  <Characters>2514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Shapovalov</dc:creator>
  <cp:keywords/>
  <dc:description/>
  <cp:lastModifiedBy>IRA</cp:lastModifiedBy>
  <cp:revision>4</cp:revision>
  <dcterms:created xsi:type="dcterms:W3CDTF">2020-05-05T10:47:00Z</dcterms:created>
  <dcterms:modified xsi:type="dcterms:W3CDTF">2020-05-05T14:23:00Z</dcterms:modified>
</cp:coreProperties>
</file>